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https://ndc.services.cdc.gov/conditions/streptococcal-toxic-shock-syndrome/</w:t>
      </w:r>
    </w:p>
    <w:p>
      <w:r>
        <w:t>Streptococcal Toxic Shock Syndrome (STSS) (Streptococcus pyogenes)|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Streptococcal Toxic Shock Syndrome (STSS) (</w:t>
        <w:br/>
        <w:t>Streptococcus pyogenes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Current</w:t>
        <w:br/>
        <w:t>Streptococcal toxic shock syndrome</w:t>
        <w:br/>
        <w:t>Case Definition(s)</w:t>
        <w:br/>
        <w:t>Streptococcal Toxic Shock Syndrome (STSS) (</w:t>
        <w:br/>
        <w:t>Streptococcus pyogenes</w:t>
        <w:br/>
        <w:t>) | 2010 Case Definition</w:t>
        <w:br/>
        <w:t>Streptococcal Toxic Shock Syndrome (STSS) (</w:t>
        <w:br/>
        <w:t>Streptococcus pyogenes</w:t>
        <w:br/>
        <w:t>) | 1996 Case Definition</w:t>
        <w:br/>
        <w:t>Streptococcal Toxic Shock Syndrome (STSS) (</w:t>
        <w:br/>
        <w:t>Streptococcus pyogenes</w:t>
        <w:br/>
        <w:t>) | 1995 Case Definition</w:t>
        <w:br/>
        <w:t>Related Condition(s)</w:t>
        <w:br/>
        <w:t>Toxic shock syndrome (other than streptococcal)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