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https://tools.cdc.gov/medialibrary/index.aspx#/sharecontent/https://ndc.services.cdc.gov/conditions/chikungunya-virus-disease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