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https://www.cdc.gov/nndss/site.html#gen</w:t>
      </w:r>
    </w:p>
    <w:p>
      <w:r>
        <w:t>Site Index | National Notifiable Diseases Surveillance System (NNDSS)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Site Index</w:t>
        <w:br/>
        <w:t>For Everyone</w:t>
        <w:br/>
        <w:t>About About National Notifiable Diseases Surveillance System</w:t>
        <w:br/>
        <w:t>Readers' Guides</w:t>
        <w:br/>
        <w:t>What is Case Surveillance?</w:t>
        <w:br/>
        <w:t>How we Conduct Case Surveillance</w:t>
        <w:br/>
        <w:t>NEDSS</w:t>
        <w:br/>
        <w:t>International Health Regulations</w:t>
        <w:br/>
        <w:t>Case Surveillance History</w:t>
        <w:br/>
        <w:t>Case Surveillance Modernization</w:t>
        <w:br/>
        <w:t>Case Service Design (CSD)</w:t>
        <w:br/>
        <w:t>Infectious Disease Tables</w:t>
        <w:br/>
        <w:t>About Infectious Disease Data</w:t>
        <w:br/>
        <w:t>About Annual Tables</w:t>
        <w:br/>
        <w:t>Notice to Data Users</w:t>
        <w:br/>
        <w:t>Non-Infectious Disease Data</w:t>
        <w:br/>
        <w:t>About Non-Infectious Data</w:t>
        <w:br/>
        <w:t>Technical Resource Center</w:t>
        <w:br/>
        <w:t>MMG FAQs</w:t>
        <w:br/>
        <w:t>Implementation FAQ</w:t>
        <w:br/>
        <w:t>MMG Implementation</w:t>
        <w:br/>
        <w:t>MMG Roles</w:t>
        <w:br/>
        <w:t>Phase 1: Pre-Onboarding</w:t>
        <w:br/>
        <w:t>Readiness Checklist</w:t>
        <w:br/>
        <w:t>Infrastructure Questions</w:t>
        <w:br/>
        <w:t>Technical Documentation</w:t>
        <w:br/>
        <w:t>MVPS</w:t>
        <w:br/>
        <w:t>METS</w:t>
        <w:br/>
        <w:t>SAMS Training Tools</w:t>
        <w:br/>
        <w:t>Phase 2: Onboarding</w:t>
        <w:br/>
        <w:t>Onboarding FAQs</w:t>
        <w:br/>
        <w:t>GenV2 Message Transition</w:t>
        <w:br/>
        <w:t>Phase 3: Routine Notification</w:t>
        <w:br/>
        <w:t>Arboviral Notifications</w:t>
        <w:br/>
        <w:t>Technical Assistance</w:t>
        <w:br/>
        <w:t>eSHARE Archives</w:t>
        <w:br/>
        <w:t>News</w:t>
        <w:br/>
        <w:t>Jurisdiction Implementation</w:t>
        <w:br/>
        <w:t>Acronyms and Abbreviations</w:t>
        <w:br/>
        <w:t>Case Surveillance in Action</w:t>
        <w:br/>
        <w:t>Data Quality Dashboards</w:t>
        <w:br/>
        <w:t>Validation Process</w:t>
        <w:br/>
        <w:t>Occupational Health Data</w:t>
        <w:br/>
        <w:t>NNDSS Weekly Tables</w:t>
        <w:br/>
        <w:t>Interactive Tool</w:t>
        <w:br/>
        <w:t>Mpox Response</w:t>
        <w:br/>
        <w:t>Communication Strategy</w:t>
        <w:br/>
        <w:t>Pregnancy Data</w:t>
        <w:br/>
        <w:t>COVID-19 Response Support</w:t>
        <w:br/>
        <w:t>Contact Us</w:t>
        <w:br/>
        <w:t>Related Topics:</w:t>
        <w:br/>
        <w:t>NDC Application</w:t>
        <w:br/>
        <w:t>Didn't find the information you were looking for?</w:t>
        <w:br/>
        <w:t>Health Topics A-Z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