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6"/>
        </w:rPr>
      </w:pPr>
    </w:p>
    <w:p>
      <w:pPr>
        <w:spacing w:before="29" w:line="273" w:lineRule="auto"/>
        <w:ind w:left="235" w:right="233" w:firstLine="0"/>
        <w:jc w:val="center"/>
        <w:rPr>
          <w:rFonts w:hint="eastAsia" w:ascii="黑体" w:eastAsia="黑体"/>
          <w:sz w:val="55"/>
        </w:rPr>
      </w:pPr>
      <w:r>
        <w:rPr>
          <w:rFonts w:hint="eastAsia" w:ascii="黑体" w:eastAsia="黑体"/>
          <w:sz w:val="55"/>
        </w:rPr>
        <w:t>总结：杭州市运河综合保护开发建设集团有限责任公司</w:t>
      </w:r>
    </w:p>
    <w:p>
      <w:pPr>
        <w:pStyle w:val="2"/>
        <w:spacing w:before="226" w:line="288" w:lineRule="auto"/>
        <w:ind w:firstLine="0"/>
      </w:pPr>
      <w:r>
        <w:rPr>
          <w:spacing w:val="-1"/>
          <w:w w:val="95"/>
        </w:rPr>
        <w:t xml:space="preserve">杭州市运河综合保护开发建设集团有限责任公司关于运 </w:t>
      </w:r>
      <w:r>
        <w:t>河相关的项目介绍</w:t>
      </w:r>
    </w:p>
    <w:p>
      <w:pPr>
        <w:pStyle w:val="7"/>
        <w:spacing w:before="2"/>
        <w:rPr>
          <w:rFonts w:ascii="黑体"/>
          <w:sz w:val="35"/>
        </w:rPr>
      </w:pPr>
    </w:p>
    <w:p>
      <w:pPr>
        <w:spacing w:before="0" w:line="374" w:lineRule="auto"/>
        <w:ind w:left="3702" w:right="3700" w:hanging="10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张悟生</w:t>
      </w:r>
      <w:r>
        <w:rPr>
          <w:color w:val="7F0000"/>
          <w:sz w:val="36"/>
          <w:vertAlign w:val="superscript"/>
        </w:rPr>
        <w:t xml:space="preserve">1 </w:t>
      </w:r>
      <w:r>
        <w:rPr>
          <w:rFonts w:hint="eastAsia" w:ascii="黑体" w:eastAsia="黑体"/>
          <w:spacing w:val="-5"/>
          <w:w w:val="95"/>
          <w:sz w:val="36"/>
          <w:vertAlign w:val="baseline"/>
        </w:rPr>
        <w:t>业务二部</w:t>
      </w:r>
    </w:p>
    <w:p>
      <w:pPr>
        <w:pStyle w:val="7"/>
        <w:spacing w:before="9"/>
        <w:rPr>
          <w:rFonts w:ascii="黑体"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1852930</wp:posOffset>
            </wp:positionH>
            <wp:positionV relativeFrom="paragraph">
              <wp:posOffset>241935</wp:posOffset>
            </wp:positionV>
            <wp:extent cx="3997325" cy="2359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451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黑体"/>
          <w:sz w:val="20"/>
        </w:rPr>
      </w:pPr>
    </w:p>
    <w:p>
      <w:pPr>
        <w:pStyle w:val="7"/>
        <w:rPr>
          <w:rFonts w:ascii="黑体"/>
          <w:sz w:val="20"/>
        </w:rPr>
      </w:pPr>
    </w:p>
    <w:p>
      <w:pPr>
        <w:pStyle w:val="7"/>
        <w:rPr>
          <w:rFonts w:ascii="黑体"/>
          <w:sz w:val="20"/>
        </w:rPr>
      </w:pPr>
    </w:p>
    <w:p>
      <w:pPr>
        <w:pStyle w:val="7"/>
        <w:spacing w:before="2"/>
        <w:rPr>
          <w:rFonts w:ascii="黑体"/>
          <w:sz w:val="25"/>
        </w:rPr>
      </w:pPr>
    </w:p>
    <w:p>
      <w:pPr>
        <w:pStyle w:val="3"/>
        <w:spacing w:before="66"/>
        <w:rPr>
          <w:rFonts w:hint="eastAsia" w:ascii="黑体" w:eastAsia="黑体"/>
        </w:rPr>
      </w:pPr>
      <w:r>
        <w:rPr>
          <w:rFonts w:hint="eastAsia" w:ascii="黑体" w:eastAsia="黑体"/>
          <w:w w:val="95"/>
        </w:rPr>
        <w:t>江苏，南京</w:t>
      </w:r>
    </w:p>
    <w:p>
      <w:pPr>
        <w:pStyle w:val="7"/>
        <w:rPr>
          <w:rFonts w:ascii="黑体"/>
          <w:sz w:val="24"/>
        </w:rPr>
      </w:pPr>
    </w:p>
    <w:p>
      <w:pPr>
        <w:pStyle w:val="7"/>
        <w:rPr>
          <w:rFonts w:ascii="黑体"/>
          <w:sz w:val="25"/>
        </w:rPr>
      </w:pPr>
    </w:p>
    <w:p>
      <w:pPr>
        <w:spacing w:before="0"/>
        <w:ind w:left="233" w:right="233" w:firstLine="0"/>
        <w:jc w:val="center"/>
        <w:rPr>
          <w:rFonts w:hint="eastAsia" w:ascii="黑体" w:eastAsia="黑体"/>
          <w:sz w:val="24"/>
        </w:rPr>
      </w:pPr>
      <w:r>
        <w:rPr>
          <w:sz w:val="24"/>
        </w:rPr>
        <w:t xml:space="preserve">2021 </w:t>
      </w:r>
      <w:r>
        <w:rPr>
          <w:rFonts w:hint="eastAsia" w:ascii="黑体" w:eastAsia="黑体"/>
          <w:sz w:val="24"/>
        </w:rPr>
        <w:t xml:space="preserve">年 </w:t>
      </w:r>
      <w:r>
        <w:rPr>
          <w:sz w:val="24"/>
        </w:rPr>
        <w:t xml:space="preserve">12 </w:t>
      </w:r>
      <w:r>
        <w:rPr>
          <w:rFonts w:hint="eastAsia" w:ascii="黑体" w:eastAsia="黑体"/>
          <w:sz w:val="24"/>
        </w:rPr>
        <w:t xml:space="preserve">月 </w:t>
      </w:r>
      <w:r>
        <w:rPr>
          <w:sz w:val="24"/>
        </w:rPr>
        <w:t xml:space="preserve">30 </w:t>
      </w:r>
      <w:r>
        <w:rPr>
          <w:rFonts w:hint="eastAsia" w:ascii="黑体" w:eastAsia="黑体"/>
          <w:sz w:val="24"/>
        </w:rPr>
        <w:t>日</w:t>
      </w:r>
    </w:p>
    <w:p>
      <w:pPr>
        <w:pStyle w:val="7"/>
        <w:spacing w:before="8"/>
        <w:rPr>
          <w:rFonts w:ascii="黑体"/>
          <w:sz w:val="8"/>
        </w:rPr>
      </w:pPr>
      <w:r>
        <w:pict>
          <v:shape id="_x0000_s1026" o:spid="_x0000_s1026" style="position:absolute;left:0pt;margin-left:90.7pt;margin-top:7.65pt;height:0.1pt;width:172.25pt;mso-position-horizontal-relative:page;mso-wrap-distance-bottom:0pt;mso-wrap-distance-top:0pt;z-index:-251612160;mso-width-relative:page;mso-height-relative:page;" filled="f" stroked="t" coordorigin="1814,154" coordsize="3445,0" path="m1814,154l5259,154e">
            <v:path arrowok="t"/>
            <v:fill on="f" focussize="0,0"/>
            <v:stroke weight="0.398503937007874pt" color="#000000"/>
            <v:imagedata o:title=""/>
            <o:lock v:ext="edit"/>
            <w10:wrap type="topAndBottom"/>
          </v:shape>
        </w:pict>
      </w:r>
    </w:p>
    <w:p>
      <w:pPr>
        <w:pStyle w:val="7"/>
        <w:spacing w:before="33"/>
        <w:ind w:left="432"/>
      </w:pPr>
      <w:r>
        <w:rPr>
          <w:position w:val="6"/>
          <w:sz w:val="10"/>
        </w:rPr>
        <w:t xml:space="preserve">1 </w:t>
      </w:r>
      <w:r>
        <w:rPr>
          <w:rFonts w:hint="eastAsia" w:ascii="宋体" w:eastAsia="宋体"/>
        </w:rPr>
        <w:t>电子邮件</w:t>
      </w:r>
      <w:r>
        <w:t xml:space="preserve">: </w:t>
      </w:r>
      <w:r>
        <w:fldChar w:fldCharType="begin"/>
      </w:r>
      <w:r>
        <w:instrText xml:space="preserve"> HYPERLINK "mailto:wusheng.zhang.2019@student.ism.de" \h </w:instrText>
      </w:r>
      <w:r>
        <w:fldChar w:fldCharType="separate"/>
      </w:r>
      <w:r>
        <w:t>wusheng.zhang.2019@student.ism.de</w:t>
      </w:r>
      <w:r>
        <w:fldChar w:fldCharType="end"/>
      </w:r>
    </w:p>
    <w:p>
      <w:pPr>
        <w:pStyle w:val="7"/>
        <w:spacing w:before="42"/>
        <w:ind w:left="264"/>
      </w:pPr>
      <w:r>
        <w:rPr>
          <w:rFonts w:hint="eastAsia" w:ascii="宋体" w:eastAsia="宋体"/>
        </w:rPr>
        <w:t>学校：</w:t>
      </w:r>
      <w:r>
        <w:t>International School of Management</w:t>
      </w:r>
    </w:p>
    <w:p>
      <w:pPr>
        <w:spacing w:after="0"/>
        <w:sectPr>
          <w:type w:val="continuous"/>
          <w:pgSz w:w="12240" w:h="15840"/>
          <w:pgMar w:top="1500" w:right="1700" w:bottom="280" w:left="170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spacing w:before="65"/>
        <w:ind w:left="114" w:right="0" w:firstLine="0"/>
        <w:jc w:val="left"/>
        <w:rPr>
          <w:rFonts w:hint="eastAsia" w:ascii="黑体" w:eastAsia="黑体"/>
          <w:b/>
          <w:sz w:val="24"/>
        </w:rPr>
      </w:pPr>
      <w:bookmarkStart w:id="0" w:name="日照市东港区的主要经济指标"/>
      <w:bookmarkEnd w:id="0"/>
      <w:r>
        <w:rPr>
          <w:rFonts w:hint="eastAsia" w:ascii="黑体" w:eastAsia="黑体"/>
          <w:b/>
          <w:sz w:val="24"/>
        </w:rPr>
        <w:t>一、日照市东港区的主要经济指标</w:t>
      </w:r>
    </w:p>
    <w:p>
      <w:pPr>
        <w:pStyle w:val="7"/>
        <w:rPr>
          <w:rFonts w:ascii="黑体"/>
          <w:b/>
          <w:sz w:val="20"/>
        </w:rPr>
      </w:pPr>
    </w:p>
    <w:p>
      <w:pPr>
        <w:pStyle w:val="7"/>
        <w:spacing w:before="6"/>
        <w:rPr>
          <w:rFonts w:ascii="黑体"/>
          <w:b/>
          <w:sz w:val="10"/>
        </w:rPr>
      </w:pPr>
      <w:r>
        <w:pict>
          <v:shape id="_x0000_s1027" o:spid="_x0000_s1027" style="position:absolute;left:0pt;margin-left:110.6pt;margin-top:9.4pt;height:0.1pt;width:388.55pt;mso-position-horizontal-relative:page;mso-wrap-distance-bottom:0pt;mso-wrap-distance-top:0pt;z-index:-251611136;mso-width-relative:page;mso-height-relative:page;" filled="f" stroked="t" coordorigin="2212,189" coordsize="7771,0" path="m2212,189l9983,189e">
            <v:path arrowok="t"/>
            <v:fill on="f" focussize="0,0"/>
            <v:stroke weight="1.41740157480315pt" color="#000000"/>
            <v:imagedata o:title=""/>
            <o:lock v:ext="edit"/>
            <w10:wrap type="topAndBottom"/>
          </v:shape>
        </w:pict>
      </w:r>
    </w:p>
    <w:p>
      <w:pPr>
        <w:pStyle w:val="7"/>
        <w:spacing w:before="5"/>
        <w:rPr>
          <w:rFonts w:ascii="黑体"/>
          <w:b/>
          <w:sz w:val="2"/>
        </w:rPr>
      </w:pPr>
    </w:p>
    <w:p>
      <w:pPr>
        <w:pStyle w:val="7"/>
        <w:ind w:left="497"/>
        <w:rPr>
          <w:rFonts w:ascii="黑体"/>
          <w:sz w:val="20"/>
        </w:rPr>
      </w:pPr>
      <w:r>
        <w:rPr>
          <w:rFonts w:ascii="黑体"/>
          <w:sz w:val="20"/>
        </w:rPr>
        <w:pict>
          <v:group id="_x0000_s1028" o:spid="_x0000_s1028" o:spt="203" style="height:162.2pt;width:388.55pt;" coordsize="7771,3244">
            <o:lock v:ext="edit"/>
            <v:line id="_x0000_s1029" o:spid="_x0000_s1029" o:spt="20" style="position:absolute;left:0;top:405;height:0;width:7771;" stroked="t" coordsize="21600,21600">
              <v:path arrowok="t"/>
              <v:fill focussize="0,0"/>
              <v:stroke weight="0.708503937007874pt" color="#000000"/>
              <v:imagedata o:title=""/>
              <o:lock v:ext="edit"/>
            </v:line>
            <v:line id="_x0000_s1030" o:spid="_x0000_s1030" o:spt="20" style="position:absolute;left:2334;top:473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1" o:spid="_x0000_s1031" o:spt="20" style="position:absolute;left:4169;top:473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2" o:spid="_x0000_s1032" o:spt="20" style="position:absolute;left:6003;top:473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3" o:spid="_x0000_s1033" o:spt="20" style="position:absolute;left:0;top:875;height:0;width:7771;" stroked="t" coordsize="21600,21600">
              <v:path arrowok="t"/>
              <v:fill focussize="0,0"/>
              <v:stroke weight="0.52503937007874pt" color="#000000"/>
              <v:imagedata o:title=""/>
              <o:lock v:ext="edit"/>
            </v:line>
            <v:line id="_x0000_s1034" o:spid="_x0000_s1034" o:spt="20" style="position:absolute;left:2334;top:942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5" o:spid="_x0000_s1035" o:spt="20" style="position:absolute;left:4169;top:942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6" o:spid="_x0000_s1036" o:spt="20" style="position:absolute;left:6003;top:942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7" o:spid="_x0000_s1037" o:spt="20" style="position:absolute;left:0;top:1344;height:0;width:7771;" stroked="t" coordsize="21600,21600">
              <v:path arrowok="t"/>
              <v:fill focussize="0,0"/>
              <v:stroke weight="0.52503937007874pt" color="#000000"/>
              <v:imagedata o:title=""/>
              <o:lock v:ext="edit"/>
            </v:line>
            <v:line id="_x0000_s1038" o:spid="_x0000_s1038" o:spt="20" style="position:absolute;left:2334;top:1411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9" o:spid="_x0000_s1039" o:spt="20" style="position:absolute;left:4169;top:1411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0" o:spid="_x0000_s1040" o:spt="20" style="position:absolute;left:6003;top:1411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1" o:spid="_x0000_s1041" o:spt="20" style="position:absolute;left:0;top:1813;height:0;width:7771;" stroked="t" coordsize="21600,21600">
              <v:path arrowok="t"/>
              <v:fill focussize="0,0"/>
              <v:stroke weight="0.52503937007874pt" color="#000000"/>
              <v:imagedata o:title=""/>
              <o:lock v:ext="edit"/>
            </v:line>
            <v:line id="_x0000_s1042" o:spid="_x0000_s1042" o:spt="20" style="position:absolute;left:2334;top:1880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3" o:spid="_x0000_s1043" o:spt="20" style="position:absolute;left:4169;top:1880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4" o:spid="_x0000_s1044" o:spt="20" style="position:absolute;left:6003;top:1880;flip:y;height:360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5" o:spid="_x0000_s1045" o:spt="20" style="position:absolute;left:0;top:2282;height:0;width:7771;" stroked="t" coordsize="21600,21600">
              <v:path arrowok="t"/>
              <v:fill focussize="0,0"/>
              <v:stroke weight="0.52503937007874pt" color="#000000"/>
              <v:imagedata o:title=""/>
              <o:lock v:ext="edit"/>
            </v:line>
            <v:line id="_x0000_s1046" o:spid="_x0000_s1046" o:spt="20" style="position:absolute;left:2334;top:2349;flip:y;height:35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7" o:spid="_x0000_s1047" o:spt="20" style="position:absolute;left:4169;top:2349;flip:y;height:35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8" o:spid="_x0000_s1048" o:spt="20" style="position:absolute;left:6003;top:2349;flip:y;height:35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49" o:spid="_x0000_s1049" o:spt="20" style="position:absolute;left:0;top:2751;height:0;width:7771;" stroked="t" coordsize="21600,21600">
              <v:path arrowok="t"/>
              <v:fill focussize="0,0"/>
              <v:stroke weight="0.52503937007874pt" color="#000000"/>
              <v:imagedata o:title=""/>
              <o:lock v:ext="edit"/>
            </v:line>
            <v:line id="_x0000_s1050" o:spid="_x0000_s1050" o:spt="20" style="position:absolute;left:2334;top:2818;flip:y;height:35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51" o:spid="_x0000_s1051" o:spt="20" style="position:absolute;left:4169;top:2818;flip:y;height:35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52" o:spid="_x0000_s1052" o:spt="20" style="position:absolute;left:6003;top:2818;flip:y;height:35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53" o:spid="_x0000_s1053" o:spt="20" style="position:absolute;left:0;top:3229;height:0;width:7771;" stroked="t" coordsize="21600,21600">
              <v:path arrowok="t"/>
              <v:fill focussize="0,0"/>
              <v:stroke weight="1.41740157480315pt" color="#000000"/>
              <v:imagedata o:title=""/>
              <o:lock v:ext="edit"/>
            </v:line>
            <v:shape id="_x0000_s1054" o:spid="_x0000_s1054" o:spt="202" type="#_x0000_t202" style="position:absolute;left:0;top:570;height:180;width:3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sz w:val="18"/>
                      </w:rPr>
                      <w:t>指标</w:t>
                    </w:r>
                  </w:p>
                </w:txbxContent>
              </v:textbox>
            </v:shape>
            <v:shape id="_x0000_s1055" o:spid="_x0000_s1055" o:spt="202" type="#_x0000_t202" style="position:absolute;left:2960;top:564;height:199;width:6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2018 </w:t>
                    </w:r>
                    <w:r>
                      <w:rPr>
                        <w:rFonts w:hint="eastAsia" w:ascii="宋体" w:eastAsia="宋体"/>
                        <w:sz w:val="18"/>
                      </w:rPr>
                      <w:t>年</w:t>
                    </w:r>
                  </w:p>
                </w:txbxContent>
              </v:textbox>
            </v:shape>
            <v:shape id="_x0000_s1056" o:spid="_x0000_s1056" o:spt="202" type="#_x0000_t202" style="position:absolute;left:4794;top:564;height:199;width:6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2019 </w:t>
                    </w:r>
                    <w:r>
                      <w:rPr>
                        <w:rFonts w:hint="eastAsia" w:ascii="宋体" w:eastAsia="宋体"/>
                        <w:sz w:val="18"/>
                      </w:rPr>
                      <w:t>年</w:t>
                    </w:r>
                  </w:p>
                </w:txbxContent>
              </v:textbox>
            </v:shape>
            <v:shape id="_x0000_s1057" o:spid="_x0000_s1057" o:spt="202" type="#_x0000_t202" style="position:absolute;left:6628;top:564;height:199;width:6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2020 </w:t>
                    </w:r>
                    <w:r>
                      <w:rPr>
                        <w:rFonts w:hint="eastAsia" w:ascii="宋体" w:eastAsia="宋体"/>
                        <w:sz w:val="18"/>
                      </w:rPr>
                      <w:t>年</w:t>
                    </w:r>
                  </w:p>
                </w:txbxContent>
              </v:textbox>
            </v:shape>
            <v:shape id="_x0000_s1058" o:spid="_x0000_s1058" o:spt="202" type="#_x0000_t202" style="position:absolute;left:0;top:1039;height:180;width:14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sz w:val="18"/>
                      </w:rPr>
                      <w:t>常住人口（万人）</w:t>
                    </w:r>
                  </w:p>
                </w:txbxContent>
              </v:textbox>
            </v:shape>
            <v:shape id="_x0000_s1059" o:spid="_x0000_s1059" o:spt="202" type="#_x0000_t202" style="position:absolute;left:3049;top:1033;height:199;width:4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80.80</w:t>
                    </w:r>
                  </w:p>
                </w:txbxContent>
              </v:textbox>
            </v:shape>
            <v:shape id="_x0000_s1060" o:spid="_x0000_s1060" o:spt="202" type="#_x0000_t202" style="position:absolute;left:4884;top:1033;height:199;width:4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75.15</w:t>
                    </w:r>
                  </w:p>
                </w:txbxContent>
              </v:textbox>
            </v:shape>
            <v:shape id="_x0000_s1061" o:spid="_x0000_s1061" o:spt="202" type="#_x0000_t202" style="position:absolute;left:6718;top:1033;height:199;width:4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83.82</w:t>
                    </w:r>
                  </w:p>
                </w:txbxContent>
              </v:textbox>
            </v:shape>
            <v:shape id="_x0000_s1062" o:spid="_x0000_s1062" o:spt="202" type="#_x0000_t202" style="position:absolute;left:0;top:1502;height:199;width:3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GDP</w:t>
                    </w:r>
                  </w:p>
                </w:txbxContent>
              </v:textbox>
            </v:shape>
            <v:shape id="_x0000_s1063" o:spid="_x0000_s1063" o:spt="202" type="#_x0000_t202" style="position:absolute;left:3005;top:1502;height:199;width: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503.31</w:t>
                    </w:r>
                  </w:p>
                </w:txbxContent>
              </v:textbox>
            </v:shape>
            <v:shape id="_x0000_s1064" o:spid="_x0000_s1064" o:spt="202" type="#_x0000_t202" style="position:absolute;left:4839;top:1502;height:199;width: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571.32</w:t>
                    </w:r>
                  </w:p>
                </w:txbxContent>
              </v:textbox>
            </v:shape>
            <v:shape id="_x0000_s1065" o:spid="_x0000_s1065" o:spt="202" type="#_x0000_t202" style="position:absolute;left:6673;top:1502;height:199;width: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519.61</w:t>
                    </w:r>
                  </w:p>
                </w:txbxContent>
              </v:textbox>
            </v:shape>
            <v:shape id="_x0000_s1066" o:spid="_x0000_s1066" o:spt="202" type="#_x0000_t202" style="position:absolute;left:0;top:1977;height:180;width:1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sz w:val="18"/>
                      </w:rPr>
                      <w:t>一般预算收入</w:t>
                    </w:r>
                  </w:p>
                </w:txbxContent>
              </v:textbox>
            </v:shape>
            <v:shape id="_x0000_s1067" o:spid="_x0000_s1067" o:spt="202" type="#_x0000_t202" style="position:absolute;left:3049;top:1971;height:199;width:4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40.02</w:t>
                    </w:r>
                  </w:p>
                </w:txbxContent>
              </v:textbox>
            </v:shape>
            <v:shape id="_x0000_s1068" o:spid="_x0000_s1068" o:spt="202" type="#_x0000_t202" style="position:absolute;left:4884;top:1971;height:199;width:4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42.68</w:t>
                    </w:r>
                  </w:p>
                </w:txbxContent>
              </v:textbox>
            </v:shape>
            <v:shape id="_x0000_s1069" o:spid="_x0000_s1069" o:spt="202" type="#_x0000_t202" style="position:absolute;left:6718;top:1971;height:199;width:4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43.55</w:t>
                    </w:r>
                  </w:p>
                </w:txbxContent>
              </v:textbox>
            </v:shape>
            <v:shape id="_x0000_s1070" o:spid="_x0000_s1070" o:spt="202" type="#_x0000_t202" style="position:absolute;left:0;top:2446;height:180;width:16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sz w:val="18"/>
                      </w:rPr>
                      <w:t>社会消费品零售总额</w:t>
                    </w:r>
                  </w:p>
                </w:txbxContent>
              </v:textbox>
            </v:shape>
            <v:shape id="_x0000_s1071" o:spid="_x0000_s1071" o:spt="202" type="#_x0000_t202" style="position:absolute;left:3005;top:2440;height:199;width: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353.72</w:t>
                    </w:r>
                  </w:p>
                </w:txbxContent>
              </v:textbox>
            </v:shape>
            <v:shape id="_x0000_s1072" o:spid="_x0000_s1072" o:spt="202" type="#_x0000_t202" style="position:absolute;left:6673;top:2440;height:199;width: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223.64</w:t>
                    </w:r>
                  </w:p>
                </w:txbxContent>
              </v:textbox>
            </v:shape>
            <v:shape id="_x0000_s1073" o:spid="_x0000_s1073" o:spt="202" type="#_x0000_t202" style="position:absolute;left:0;top:2915;height:180;width:7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rFonts w:hint="eastAsia" w:ascii="宋体" w:eastAsia="宋体"/>
                        <w:sz w:val="18"/>
                      </w:rPr>
                      <w:t>三产结构</w:t>
                    </w:r>
                  </w:p>
                </w:txbxContent>
              </v:textbox>
            </v:shape>
            <v:shape id="_x0000_s1074" o:spid="_x0000_s1074" o:spt="202" type="#_x0000_t202" style="position:absolute;left:2843;top:2909;height:199;width:8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4.4:31:64.6</w:t>
                    </w:r>
                  </w:p>
                </w:txbxContent>
              </v:textbox>
            </v:shape>
            <v:shape id="_x0000_s1075" o:spid="_x0000_s1075" o:spt="202" type="#_x0000_t202" style="position:absolute;left:4610;top:2909;height:199;width:9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6.2:25.3:68.5</w:t>
                    </w:r>
                  </w:p>
                </w:txbxContent>
              </v:textbox>
            </v:shape>
            <v:shape id="_x0000_s1076" o:spid="_x0000_s1076" o:spt="202" type="#_x0000_t202" style="position:absolute;left:6444;top:2909;height:199;width:9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6.7:19.1:74.2</w:t>
                    </w:r>
                  </w:p>
                </w:txbxContent>
              </v:textbox>
            </v:shape>
            <v:shape id="_x0000_s1077" o:spid="_x0000_s1077" o:spt="202" type="#_x0000_t202" style="position:absolute;left:0;top:0;height:398;width:7771;" fillcolor="#BFBFB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601"/>
                      </w:tabs>
                      <w:spacing w:before="72"/>
                      <w:ind w:left="0" w:right="0" w:firstLine="0"/>
                      <w:jc w:val="center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sz w:val="18"/>
                      </w:rPr>
                      <w:t>2018-2020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18"/>
                      </w:rPr>
                      <w:t>年日照市东港区主要经济指标</w:t>
                    </w:r>
                    <w:r>
                      <w:rPr>
                        <w:rFonts w:hint="eastAsia" w:ascii="宋体" w:eastAsia="宋体"/>
                        <w:sz w:val="18"/>
                      </w:rPr>
                      <w:tab/>
                    </w:r>
                    <w:r>
                      <w:rPr>
                        <w:rFonts w:hint="eastAsia" w:ascii="宋体" w:eastAsia="宋体"/>
                        <w:sz w:val="18"/>
                      </w:rPr>
                      <w:t>单位：亿元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tabs>
          <w:tab w:val="left" w:pos="2979"/>
        </w:tabs>
        <w:spacing w:before="1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8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rPr>
          <w:rFonts w:hint="eastAsia" w:ascii="宋体" w:eastAsia="宋体"/>
        </w:rPr>
        <w:t>近三年日照市东港区的主要经济指标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单位</w:t>
      </w:r>
      <w:r>
        <w:t xml:space="preserve">: </w:t>
      </w:r>
      <w:r>
        <w:rPr>
          <w:rFonts w:hint="eastAsia" w:ascii="宋体" w:eastAsia="宋体"/>
        </w:rPr>
        <w:t>亿元</w:t>
      </w:r>
    </w:p>
    <w:p>
      <w:pPr>
        <w:spacing w:after="0"/>
        <w:jc w:val="center"/>
        <w:rPr>
          <w:rFonts w:hint="eastAsia" w:ascii="宋体" w:eastAsia="宋体"/>
        </w:rPr>
        <w:sectPr>
          <w:pgSz w:w="12240" w:h="15840"/>
          <w:pgMar w:top="1500" w:right="1700" w:bottom="280" w:left="1700" w:header="720" w:footer="720" w:gutter="0"/>
          <w:cols w:space="720" w:num="1"/>
        </w:sectPr>
      </w:pPr>
    </w:p>
    <w:p>
      <w:pPr>
        <w:pStyle w:val="4"/>
        <w:tabs>
          <w:tab w:val="left" w:pos="8095"/>
        </w:tabs>
        <w:spacing w:before="44" w:after="16"/>
        <w:ind w:left="114"/>
      </w:pPr>
      <w:r>
        <w:pict>
          <v:line id="_x0000_s1078" o:spid="_x0000_s1078" o:spt="20" style="position:absolute;left:0pt;margin-left:231.7pt;margin-top:63.85pt;height:9.22337203685478e+17pt;width:0pt;mso-position-horizontal-relative:page;z-index:-25165619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79" o:spid="_x0000_s1079" o:spt="20" style="position:absolute;left:0pt;margin-left:326.1pt;margin-top:63.85pt;height:9.22337203685478e+17pt;width:0pt;mso-position-horizontal-relative:page;z-index:-25165516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0" o:spid="_x0000_s1080" o:spt="20" style="position:absolute;left:0pt;margin-left:231.7pt;margin-top:87.3pt;height:9.22337203685478e+17pt;width:0pt;mso-position-horizontal-relative:page;z-index:-25165414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1" o:spid="_x0000_s1081" o:spt="20" style="position:absolute;left:0pt;margin-left:326.1pt;margin-top:87.3pt;height:9.22337203685478e+17pt;width:0pt;mso-position-horizontal-relative:page;z-index:-25165312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2" o:spid="_x0000_s1082" o:spt="20" style="position:absolute;left:0pt;margin-left:231.7pt;margin-top:110.75pt;height:9.22337203685478e+17pt;width:0pt;mso-position-horizontal-relative:page;z-index:-25165209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3" o:spid="_x0000_s1083" o:spt="20" style="position:absolute;left:0pt;margin-left:326.1pt;margin-top:110.75pt;height:9.22337203685478e+17pt;width:0pt;mso-position-horizontal-relative:page;z-index:-25165107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4" o:spid="_x0000_s1084" o:spt="20" style="position:absolute;left:0pt;margin-left:231.7pt;margin-top:206.15pt;height:9.22337203685478e+17pt;width:0pt;mso-position-horizontal-relative:page;mso-position-vertical-relative:page;z-index:-25165004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5" o:spid="_x0000_s1085" o:spt="20" style="position:absolute;left:0pt;margin-left:326.1pt;margin-top:206.15pt;height:9.22337203685478e+17pt;width:0pt;mso-position-horizontal-relative:page;mso-position-vertical-relative:page;z-index:-25164902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6" o:spid="_x0000_s1086" o:spt="20" style="position:absolute;left:0pt;margin-left:231.7pt;margin-top:229.6pt;height:9.22337203685478e+17pt;width:0pt;mso-position-horizontal-relative:page;mso-position-vertical-relative:page;z-index:-25164800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7" o:spid="_x0000_s1087" o:spt="20" style="position:absolute;left:0pt;margin-left:326.1pt;margin-top:229.6pt;height:9.22337203685478e+17pt;width:0pt;mso-position-horizontal-relative:page;mso-position-vertical-relative:page;z-index:-25164697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8" o:spid="_x0000_s1088" o:spt="20" style="position:absolute;left:0pt;margin-left:231.7pt;margin-top:253.05pt;height:9.22337203685478e+17pt;width:0pt;mso-position-horizontal-relative:page;mso-position-vertical-relative:page;z-index:-25164595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89" o:spid="_x0000_s1089" o:spt="20" style="position:absolute;left:0pt;margin-left:326.1pt;margin-top:253.05pt;height:9.22337203685478e+17pt;width:0pt;mso-position-horizontal-relative:page;mso-position-vertical-relative:page;z-index:-25164492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0" o:spid="_x0000_s1090" o:spt="20" style="position:absolute;left:0pt;margin-left:231.7pt;margin-top:276.5pt;height:9.22337203685478e+17pt;width:0pt;mso-position-horizontal-relative:page;mso-position-vertical-relative:page;z-index:-25164390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1" o:spid="_x0000_s1091" o:spt="20" style="position:absolute;left:0pt;margin-left:326.1pt;margin-top:276.5pt;height:9.22337203685478e+17pt;width:0pt;mso-position-horizontal-relative:page;mso-position-vertical-relative:page;z-index:-25164288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2" o:spid="_x0000_s1092" o:spt="20" style="position:absolute;left:0pt;margin-left:231.7pt;margin-top:299.95pt;height:9.22337203685478e+17pt;width:0pt;mso-position-horizontal-relative:page;mso-position-vertical-relative:page;z-index:-25164185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3" o:spid="_x0000_s1093" o:spt="20" style="position:absolute;left:0pt;margin-left:326.1pt;margin-top:299.95pt;height:9.22337203685478e+17pt;width:0pt;mso-position-horizontal-relative:page;mso-position-vertical-relative:page;z-index:-25164083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4" o:spid="_x0000_s1094" o:spt="20" style="position:absolute;left:0pt;margin-left:231.7pt;margin-top:323.4pt;height:9.22337203685478e+17pt;width:0pt;mso-position-horizontal-relative:page;mso-position-vertical-relative:page;z-index:-25163980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5" o:spid="_x0000_s1095" o:spt="20" style="position:absolute;left:0pt;margin-left:326.1pt;margin-top:323.4pt;height:9.22337203685478e+17pt;width:0pt;mso-position-horizontal-relative:page;mso-position-vertical-relative:page;z-index:-25163878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6" o:spid="_x0000_s1096" o:spt="20" style="position:absolute;left:0pt;margin-left:231.7pt;margin-top:346.85pt;height:9.22337203685478e+17pt;width:0pt;mso-position-horizontal-relative:page;mso-position-vertical-relative:page;z-index:-25163776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7" o:spid="_x0000_s1097" o:spt="20" style="position:absolute;left:0pt;margin-left:326.1pt;margin-top:346.85pt;height:9.22337203685478e+17pt;width:0pt;mso-position-horizontal-relative:page;mso-position-vertical-relative:page;z-index:-25163673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8" o:spid="_x0000_s1098" o:spt="20" style="position:absolute;left:0pt;margin-left:231.7pt;margin-top:370.3pt;height:9.22337203685478e+17pt;width:0pt;mso-position-horizontal-relative:page;mso-position-vertical-relative:page;z-index:-25163571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099" o:spid="_x0000_s1099" o:spt="20" style="position:absolute;left:0pt;margin-left:326.1pt;margin-top:370.3pt;height:9.22337203685478e+17pt;width:0pt;mso-position-horizontal-relative:page;mso-position-vertical-relative:page;z-index:-25163468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0" o:spid="_x0000_s1100" o:spt="20" style="position:absolute;left:0pt;margin-left:231.7pt;margin-top:393.75pt;height:9.22337203685478e+17pt;width:0pt;mso-position-horizontal-relative:page;mso-position-vertical-relative:page;z-index:-25163366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1" o:spid="_x0000_s1101" o:spt="20" style="position:absolute;left:0pt;margin-left:326.1pt;margin-top:393.75pt;height:9.22337203685478e+17pt;width:0pt;mso-position-horizontal-relative:page;mso-position-vertical-relative:page;z-index:-25163264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2" o:spid="_x0000_s1102" o:spt="20" style="position:absolute;left:0pt;margin-left:231.7pt;margin-top:417.2pt;height:9.22337203685478e+17pt;width:0pt;mso-position-horizontal-relative:page;mso-position-vertical-relative:page;z-index:-25163161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3" o:spid="_x0000_s1103" o:spt="20" style="position:absolute;left:0pt;margin-left:326.1pt;margin-top:417.2pt;height:9.22337203685478e+17pt;width:0pt;mso-position-horizontal-relative:page;mso-position-vertical-relative:page;z-index:-25163059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4" o:spid="_x0000_s1104" o:spt="20" style="position:absolute;left:0pt;margin-left:231.7pt;margin-top:440.65pt;height:9.22337203685478e+17pt;width:0pt;mso-position-horizontal-relative:page;mso-position-vertical-relative:page;z-index:-25162956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5" o:spid="_x0000_s1105" o:spt="20" style="position:absolute;left:0pt;margin-left:326.1pt;margin-top:440.65pt;height:9.22337203685478e+17pt;width:0pt;mso-position-horizontal-relative:page;mso-position-vertical-relative:page;z-index:-25162854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6" o:spid="_x0000_s1106" o:spt="20" style="position:absolute;left:0pt;margin-left:231.7pt;margin-top:464.1pt;height:9.22337203685478e+17pt;width:0pt;mso-position-horizontal-relative:page;mso-position-vertical-relative:page;z-index:-25162752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7" o:spid="_x0000_s1107" o:spt="20" style="position:absolute;left:0pt;margin-left:326.1pt;margin-top:464.1pt;height:9.22337203685478e+17pt;width:0pt;mso-position-horizontal-relative:page;mso-position-vertical-relative:page;z-index:-25162649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8" o:spid="_x0000_s1108" o:spt="20" style="position:absolute;left:0pt;margin-left:231.7pt;margin-top:487.55pt;height:9.22337203685478e+17pt;width:0pt;mso-position-horizontal-relative:page;mso-position-vertical-relative:page;z-index:-25162547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09" o:spid="_x0000_s1109" o:spt="20" style="position:absolute;left:0pt;margin-left:326.1pt;margin-top:487.55pt;height:9.22337203685478e+17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0" o:spid="_x0000_s1110" o:spt="20" style="position:absolute;left:0pt;margin-left:231.7pt;margin-top:511pt;height:9.22337203685478e+17pt;width:0pt;mso-position-horizontal-relative:page;mso-position-vertical-relative:page;z-index:-25162342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1" o:spid="_x0000_s1111" o:spt="20" style="position:absolute;left:0pt;margin-left:326.1pt;margin-top:511pt;height:9.22337203685478e+17pt;width:0pt;mso-position-horizontal-relative:page;mso-position-vertical-relative:page;z-index:-25162240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2" o:spid="_x0000_s1112" o:spt="20" style="position:absolute;left:0pt;margin-left:231.7pt;margin-top:534.45pt;height:9.22337203685478e+17pt;width:0pt;mso-position-horizontal-relative:page;mso-position-vertical-relative:page;z-index:-25162137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3" o:spid="_x0000_s1113" o:spt="20" style="position:absolute;left:0pt;margin-left:326.1pt;margin-top:534.45pt;height:9.22337203685478e+17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4" o:spid="_x0000_s1114" o:spt="20" style="position:absolute;left:0pt;margin-left:231.7pt;margin-top:557.9pt;height:9.22337203685478e+17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5" o:spid="_x0000_s1115" o:spt="20" style="position:absolute;left:0pt;margin-left:326.1pt;margin-top:557.9pt;height:9.22337203685478e+17pt;width:0pt;mso-position-horizontal-relative:page;mso-position-vertical-relative:page;z-index:-251618304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6" o:spid="_x0000_s1116" o:spt="20" style="position:absolute;left:0pt;margin-left:231.7pt;margin-top:581.35pt;height:9.22337203685478e+17pt;width:0pt;mso-position-horizontal-relative:page;mso-position-vertical-relative:page;z-index:-251617280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7" o:spid="_x0000_s1117" o:spt="20" style="position:absolute;left:0pt;margin-left:326.1pt;margin-top:581.35pt;height:9.22337203685478e+17pt;width:0pt;mso-position-horizontal-relative:page;mso-position-vertical-relative:page;z-index:-251616256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8" o:spid="_x0000_s1118" o:spt="20" style="position:absolute;left:0pt;margin-left:231.7pt;margin-top:604.8pt;height:9.22337203685478e+17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pict>
          <v:line id="_x0000_s1119" o:spid="_x0000_s1119" o:spt="20" style="position:absolute;left:0pt;margin-left:326.1pt;margin-top:604.8pt;height:9.22337203685478e+17pt;width:0pt;mso-position-horizontal-relative:page;mso-position-vertical-relative:page;z-index:-25161420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</v:line>
        </w:pict>
      </w:r>
      <w:r>
        <w:t>行业研究：资料汇总</w:t>
      </w:r>
      <w:r>
        <w:tab/>
      </w:r>
      <w:r>
        <w:t>张悟生</w:t>
      </w:r>
    </w:p>
    <w:p>
      <w:pPr>
        <w:pStyle w:val="7"/>
        <w:spacing w:line="20" w:lineRule="exact"/>
        <w:ind w:left="104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120" o:spid="_x0000_s1120" o:spt="203" style="height:1pt;width:430.6pt;" coordsize="8612,20">
            <o:lock v:ext="edit"/>
            <v:line id="_x0000_s1121" o:spid="_x0000_s1121" o:spt="20" style="position:absolute;left:0;top:10;height:0;width:8612;" stroked="t" coordsize="21600,21600">
              <v:path arrowok="t"/>
              <v:fill focussize="0,0"/>
              <v:stroke weight="0.99629921259842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rPr>
          <w:rFonts w:ascii="宋体"/>
          <w:sz w:val="20"/>
        </w:rPr>
      </w:pPr>
    </w:p>
    <w:p>
      <w:pPr>
        <w:pStyle w:val="7"/>
        <w:spacing w:before="5"/>
        <w:rPr>
          <w:rFonts w:ascii="宋体"/>
          <w:sz w:val="18"/>
        </w:rPr>
      </w:pPr>
    </w:p>
    <w:tbl>
      <w:tblPr>
        <w:tblStyle w:val="6"/>
        <w:tblW w:w="0" w:type="auto"/>
        <w:tblInd w:w="20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2970"/>
        <w:gridCol w:w="1301"/>
        <w:gridCol w:w="18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22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10"/>
              <w:spacing w:before="0"/>
              <w:ind w:left="0"/>
              <w:rPr>
                <w:sz w:val="2"/>
              </w:rPr>
            </w:pP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10"/>
              <w:spacing w:before="0"/>
              <w:ind w:left="0"/>
              <w:rPr>
                <w:sz w:val="2"/>
              </w:rPr>
            </w:pPr>
          </w:p>
        </w:tc>
        <w:tc>
          <w:tcPr>
            <w:tcW w:w="1301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10"/>
              <w:spacing w:before="0"/>
              <w:ind w:left="0"/>
              <w:rPr>
                <w:sz w:val="2"/>
              </w:rPr>
            </w:pPr>
          </w:p>
        </w:tc>
        <w:tc>
          <w:tcPr>
            <w:tcW w:w="1884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10"/>
              <w:spacing w:before="0"/>
              <w:ind w:left="0"/>
              <w:rPr>
                <w:sz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40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BFBFBF"/>
          </w:tcPr>
          <w:p>
            <w:pPr>
              <w:pStyle w:val="10"/>
              <w:spacing w:before="72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指标</w:t>
            </w:r>
          </w:p>
        </w:tc>
        <w:tc>
          <w:tcPr>
            <w:tcW w:w="2970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BFBFBF"/>
          </w:tcPr>
          <w:p>
            <w:pPr>
              <w:pStyle w:val="10"/>
              <w:spacing w:before="72"/>
              <w:ind w:right="1217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 xml:space="preserve">2018 </w:t>
            </w:r>
            <w:r>
              <w:rPr>
                <w:rFonts w:hint="eastAsia" w:ascii="宋体" w:eastAsia="宋体"/>
                <w:sz w:val="18"/>
              </w:rPr>
              <w:t>年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000000" w:sz="6" w:space="0"/>
              <w:right w:val="single" w:color="000000" w:sz="4" w:space="0"/>
            </w:tcBorders>
            <w:shd w:val="clear" w:color="auto" w:fill="BFBFBF"/>
          </w:tcPr>
          <w:p>
            <w:pPr>
              <w:pStyle w:val="10"/>
              <w:spacing w:before="72"/>
              <w:ind w:left="65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 xml:space="preserve">2019 </w:t>
            </w:r>
            <w:r>
              <w:rPr>
                <w:rFonts w:hint="eastAsia" w:ascii="宋体" w:eastAsia="宋体"/>
                <w:sz w:val="18"/>
              </w:rPr>
              <w:t>年</w:t>
            </w:r>
          </w:p>
        </w:tc>
        <w:tc>
          <w:tcPr>
            <w:tcW w:w="1884" w:type="dxa"/>
            <w:tcBorders>
              <w:top w:val="nil"/>
              <w:left w:val="single" w:color="000000" w:sz="4" w:space="0"/>
              <w:bottom w:val="single" w:color="000000" w:sz="6" w:space="0"/>
              <w:right w:val="nil"/>
            </w:tcBorders>
            <w:shd w:val="clear" w:color="auto" w:fill="BFBFBF"/>
          </w:tcPr>
          <w:p>
            <w:pPr>
              <w:pStyle w:val="10"/>
              <w:spacing w:before="72"/>
              <w:ind w:left="0" w:right="646"/>
              <w:jc w:val="right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 xml:space="preserve">2020 </w:t>
            </w:r>
            <w:r>
              <w:rPr>
                <w:rFonts w:hint="eastAsia" w:ascii="宋体" w:eastAsia="宋体"/>
                <w:sz w:val="18"/>
              </w:rPr>
              <w:t>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8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（一）一般预算收入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40.02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42.68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43.55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0" w:right="326"/>
              <w:jc w:val="right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其中</w:t>
            </w:r>
            <w:r>
              <w:rPr>
                <w:sz w:val="18"/>
              </w:rPr>
              <w:t xml:space="preserve">: </w:t>
            </w:r>
            <w:r>
              <w:rPr>
                <w:rFonts w:hint="eastAsia" w:ascii="宋体" w:eastAsia="宋体"/>
                <w:sz w:val="18"/>
              </w:rPr>
              <w:t>税收收入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36.91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39.39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38.62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0" w:right="148"/>
              <w:jc w:val="right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w w:val="95"/>
                <w:sz w:val="18"/>
              </w:rPr>
              <w:t>非税收收入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99"/>
              <w:rPr>
                <w:sz w:val="18"/>
              </w:rPr>
            </w:pPr>
            <w:r>
              <w:rPr>
                <w:sz w:val="18"/>
              </w:rPr>
              <w:t>3.29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4.93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 w:ascii="宋体" w:eastAsia="宋体"/>
                <w:sz w:val="18"/>
              </w:rPr>
              <w:t>二</w:t>
            </w:r>
            <w:r>
              <w:rPr>
                <w:sz w:val="18"/>
              </w:rPr>
              <w:t xml:space="preserve">) </w:t>
            </w:r>
            <w:r>
              <w:rPr>
                <w:rFonts w:hint="eastAsia" w:ascii="宋体" w:eastAsia="宋体"/>
                <w:sz w:val="18"/>
              </w:rPr>
              <w:t>政府性基金收入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99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0.45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 w:ascii="宋体" w:eastAsia="宋体"/>
                <w:sz w:val="18"/>
              </w:rPr>
              <w:t>三</w:t>
            </w:r>
            <w:r>
              <w:rPr>
                <w:sz w:val="18"/>
              </w:rPr>
              <w:t xml:space="preserve">) </w:t>
            </w:r>
            <w:r>
              <w:rPr>
                <w:rFonts w:hint="eastAsia" w:ascii="宋体" w:eastAsia="宋体"/>
                <w:sz w:val="18"/>
              </w:rPr>
              <w:t>上级补助收入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6.17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71.69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62.29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调入资金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3.55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99"/>
              <w:rPr>
                <w:sz w:val="18"/>
              </w:rPr>
            </w:pPr>
            <w:r>
              <w:rPr>
                <w:sz w:val="18"/>
              </w:rPr>
              <w:t>5.19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5.42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0" w:right="289"/>
              <w:jc w:val="right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w w:val="95"/>
                <w:sz w:val="18"/>
              </w:rPr>
              <w:t>上述收入合计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49.80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119.63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111.71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 w:ascii="宋体" w:eastAsia="宋体"/>
                <w:sz w:val="18"/>
              </w:rPr>
              <w:t>一</w:t>
            </w:r>
            <w:r>
              <w:rPr>
                <w:sz w:val="18"/>
              </w:rPr>
              <w:t xml:space="preserve">) </w:t>
            </w:r>
            <w:r>
              <w:rPr>
                <w:rFonts w:hint="eastAsia" w:ascii="宋体" w:eastAsia="宋体"/>
                <w:sz w:val="18"/>
              </w:rPr>
              <w:t>一般预算支出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43.20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43.68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43.60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 w:ascii="宋体" w:eastAsia="宋体"/>
                <w:sz w:val="18"/>
              </w:rPr>
              <w:t>二</w:t>
            </w:r>
            <w:r>
              <w:rPr>
                <w:sz w:val="18"/>
              </w:rPr>
              <w:t xml:space="preserve">) </w:t>
            </w:r>
            <w:r>
              <w:rPr>
                <w:rFonts w:hint="eastAsia" w:ascii="宋体" w:eastAsia="宋体"/>
                <w:sz w:val="18"/>
              </w:rPr>
              <w:t>政府性基金支出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13.50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83.65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91.17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0" w:right="289"/>
              <w:jc w:val="right"/>
              <w:rPr>
                <w:rFonts w:hint="eastAsia" w:ascii="黑体" w:eastAsia="黑体"/>
                <w:sz w:val="18"/>
              </w:rPr>
            </w:pPr>
            <w:r>
              <w:rPr>
                <w:rFonts w:hint="eastAsia" w:ascii="黑体" w:eastAsia="黑体"/>
                <w:w w:val="95"/>
                <w:sz w:val="18"/>
              </w:rPr>
              <w:t>上述支出合计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b/>
                <w:sz w:val="18"/>
              </w:rPr>
            </w:pPr>
            <w:bookmarkStart w:id="1" w:name="_GoBack"/>
            <w:bookmarkEnd w:id="1"/>
            <w:r>
              <w:rPr>
                <w:b/>
                <w:sz w:val="18"/>
              </w:rPr>
              <w:t>56.70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127.33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0" w:right="691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134.77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0" w:right="215"/>
              <w:jc w:val="right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w w:val="95"/>
                <w:sz w:val="18"/>
              </w:rPr>
              <w:t>税收收入</w:t>
            </w:r>
            <w:r>
              <w:rPr>
                <w:w w:val="95"/>
                <w:sz w:val="18"/>
              </w:rPr>
              <w:t>/</w:t>
            </w:r>
            <w:r>
              <w:rPr>
                <w:rFonts w:hint="eastAsia" w:ascii="宋体" w:eastAsia="宋体"/>
                <w:w w:val="95"/>
                <w:sz w:val="18"/>
              </w:rPr>
              <w:t>一般预算收入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92.23%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80"/>
              <w:rPr>
                <w:sz w:val="18"/>
              </w:rPr>
            </w:pPr>
            <w:r>
              <w:rPr>
                <w:sz w:val="18"/>
              </w:rPr>
              <w:t>85.26%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0" w:right="66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88.68%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财政自给率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92.64%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80"/>
              <w:rPr>
                <w:sz w:val="18"/>
              </w:rPr>
            </w:pPr>
            <w:r>
              <w:rPr>
                <w:sz w:val="18"/>
              </w:rPr>
              <w:t>97.71%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0" w:right="66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99.88%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地方政府债务限额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45.71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56.48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80.72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其中</w:t>
            </w:r>
            <w:r>
              <w:rPr>
                <w:sz w:val="18"/>
              </w:rPr>
              <w:t xml:space="preserve">: </w:t>
            </w:r>
            <w:r>
              <w:rPr>
                <w:rFonts w:hint="eastAsia" w:ascii="宋体" w:eastAsia="宋体"/>
                <w:sz w:val="18"/>
              </w:rPr>
              <w:t>一般债务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20.10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18.78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18.23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726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专项债务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25.61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37.70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62.49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地方政府债务余额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41.67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51.82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77.29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其中</w:t>
            </w:r>
            <w:r>
              <w:rPr>
                <w:sz w:val="18"/>
              </w:rPr>
              <w:t xml:space="preserve">: </w:t>
            </w:r>
            <w:r>
              <w:rPr>
                <w:rFonts w:hint="eastAsia" w:ascii="宋体" w:eastAsia="宋体"/>
                <w:sz w:val="18"/>
              </w:rPr>
              <w:t>一般债务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18.36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16.89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16.96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726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专项债务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23.31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154"/>
              <w:rPr>
                <w:sz w:val="18"/>
              </w:rPr>
            </w:pPr>
            <w:r>
              <w:rPr>
                <w:sz w:val="18"/>
              </w:rPr>
              <w:t>34.94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671" w:right="672"/>
              <w:jc w:val="center"/>
              <w:rPr>
                <w:sz w:val="18"/>
              </w:rPr>
            </w:pPr>
            <w:r>
              <w:rPr>
                <w:sz w:val="18"/>
              </w:rPr>
              <w:t>60.34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2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政府债务率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78.41%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ind w:left="80"/>
              <w:rPr>
                <w:sz w:val="18"/>
              </w:rPr>
            </w:pPr>
            <w:r>
              <w:rPr>
                <w:sz w:val="18"/>
              </w:rPr>
              <w:t>97.34%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10"/>
              <w:ind w:left="0" w:right="61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142.07%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240" w:type="dxa"/>
            <w:tcBorders>
              <w:top w:val="single" w:color="000000" w:sz="6" w:space="0"/>
              <w:left w:val="nil"/>
              <w:right w:val="nil"/>
            </w:tcBorders>
          </w:tcPr>
          <w:p>
            <w:pPr>
              <w:pStyle w:val="10"/>
              <w:spacing w:before="130"/>
              <w:ind w:left="179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sz w:val="18"/>
              </w:rPr>
              <w:t>政府负债率</w:t>
            </w:r>
          </w:p>
        </w:tc>
        <w:tc>
          <w:tcPr>
            <w:tcW w:w="2970" w:type="dxa"/>
            <w:tcBorders>
              <w:top w:val="single" w:color="000000" w:sz="6" w:space="0"/>
              <w:left w:val="nil"/>
              <w:right w:val="nil"/>
            </w:tcBorders>
          </w:tcPr>
          <w:p>
            <w:pPr>
              <w:pStyle w:val="10"/>
              <w:ind w:right="1217"/>
              <w:jc w:val="center"/>
              <w:rPr>
                <w:sz w:val="18"/>
              </w:rPr>
            </w:pPr>
            <w:r>
              <w:rPr>
                <w:sz w:val="18"/>
              </w:rPr>
              <w:t>8.28%</w:t>
            </w:r>
          </w:p>
        </w:tc>
        <w:tc>
          <w:tcPr>
            <w:tcW w:w="1301" w:type="dxa"/>
            <w:tcBorders>
              <w:top w:val="single" w:color="000000" w:sz="6" w:space="0"/>
              <w:left w:val="nil"/>
              <w:right w:val="single" w:color="000000" w:sz="4" w:space="0"/>
            </w:tcBorders>
          </w:tcPr>
          <w:p>
            <w:pPr>
              <w:pStyle w:val="10"/>
              <w:ind w:left="125"/>
              <w:rPr>
                <w:sz w:val="18"/>
              </w:rPr>
            </w:pPr>
            <w:r>
              <w:rPr>
                <w:sz w:val="18"/>
              </w:rPr>
              <w:t>9.07%</w:t>
            </w:r>
          </w:p>
        </w:tc>
        <w:tc>
          <w:tcPr>
            <w:tcW w:w="1884" w:type="dxa"/>
            <w:tcBorders>
              <w:top w:val="single" w:color="000000" w:sz="6" w:space="0"/>
              <w:left w:val="single" w:color="000000" w:sz="4" w:space="0"/>
              <w:right w:val="nil"/>
            </w:tcBorders>
          </w:tcPr>
          <w:p>
            <w:pPr>
              <w:pStyle w:val="10"/>
              <w:ind w:left="0" w:right="66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14.87%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240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before="0"/>
              <w:ind w:left="0"/>
              <w:rPr>
                <w:sz w:val="16"/>
              </w:rPr>
            </w:pP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before="132" w:line="162" w:lineRule="exact"/>
              <w:ind w:left="150"/>
              <w:rPr>
                <w:rFonts w:hint="eastAsia" w:ascii="宋体" w:eastAsia="宋体"/>
                <w:sz w:val="15"/>
              </w:rPr>
            </w:pPr>
            <w:r>
              <w:rPr>
                <w:rFonts w:hint="eastAsia" w:ascii="宋体" w:eastAsia="宋体"/>
                <w:sz w:val="15"/>
              </w:rPr>
              <w:t xml:space="preserve">表 </w:t>
            </w:r>
            <w:r>
              <w:rPr>
                <w:sz w:val="15"/>
              </w:rPr>
              <w:t xml:space="preserve">2: </w:t>
            </w:r>
            <w:r>
              <w:rPr>
                <w:rFonts w:hint="eastAsia" w:ascii="宋体" w:eastAsia="宋体"/>
                <w:sz w:val="15"/>
              </w:rPr>
              <w:t>近三年日照市东港区的更多经济指标</w:t>
            </w:r>
          </w:p>
        </w:tc>
        <w:tc>
          <w:tcPr>
            <w:tcW w:w="1301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before="132" w:line="162" w:lineRule="exact"/>
              <w:ind w:left="159"/>
              <w:rPr>
                <w:rFonts w:hint="eastAsia" w:ascii="宋体" w:eastAsia="宋体"/>
                <w:sz w:val="15"/>
              </w:rPr>
            </w:pPr>
            <w:r>
              <w:rPr>
                <w:rFonts w:hint="eastAsia" w:ascii="宋体" w:eastAsia="宋体"/>
                <w:sz w:val="15"/>
              </w:rPr>
              <w:t>单位</w:t>
            </w:r>
            <w:r>
              <w:rPr>
                <w:sz w:val="15"/>
              </w:rPr>
              <w:t xml:space="preserve">: </w:t>
            </w:r>
            <w:r>
              <w:rPr>
                <w:rFonts w:hint="eastAsia" w:ascii="宋体" w:eastAsia="宋体"/>
                <w:sz w:val="15"/>
              </w:rPr>
              <w:t>亿元</w:t>
            </w:r>
          </w:p>
        </w:tc>
        <w:tc>
          <w:tcPr>
            <w:tcW w:w="188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before="0"/>
              <w:ind w:left="0"/>
              <w:rPr>
                <w:sz w:val="16"/>
              </w:rPr>
            </w:pPr>
          </w:p>
        </w:tc>
      </w:tr>
    </w:tbl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宋体"/>
          <w:sz w:val="20"/>
        </w:rPr>
      </w:pPr>
    </w:p>
    <w:p>
      <w:pPr>
        <w:pStyle w:val="7"/>
        <w:spacing w:before="12"/>
        <w:rPr>
          <w:rFonts w:ascii="宋体"/>
          <w:sz w:val="20"/>
        </w:rPr>
      </w:pPr>
    </w:p>
    <w:p>
      <w:pPr>
        <w:spacing w:before="0"/>
        <w:ind w:left="0" w:right="0" w:firstLine="0"/>
        <w:jc w:val="center"/>
        <w:rPr>
          <w:sz w:val="21"/>
        </w:rPr>
      </w:pPr>
      <w:r>
        <w:rPr>
          <w:sz w:val="21"/>
        </w:rPr>
        <w:t>2</w:t>
      </w:r>
    </w:p>
    <w:sectPr>
      <w:pgSz w:w="12240" w:h="15840"/>
      <w:pgMar w:top="14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EAF4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" w:right="114" w:hanging="10"/>
      <w:jc w:val="center"/>
      <w:outlineLvl w:val="1"/>
    </w:pPr>
    <w:rPr>
      <w:rFonts w:ascii="黑体" w:hAnsi="黑体" w:eastAsia="黑体" w:cs="黑体"/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233" w:right="233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paragraph" w:styleId="4">
    <w:name w:val="heading 3"/>
    <w:basedOn w:val="1"/>
    <w:next w:val="1"/>
    <w:qFormat/>
    <w:uiPriority w:val="1"/>
    <w:pPr>
      <w:outlineLvl w:val="3"/>
    </w:pPr>
    <w:rPr>
      <w:rFonts w:ascii="宋体" w:hAnsi="宋体" w:eastAsia="宋体" w:cs="宋体"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15"/>
      <w:szCs w:val="15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142"/>
      <w:ind w:left="112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28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1"/>
    <customShpInfo spid="_x0000_s1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2021-12-30T03:28:00Z</dcterms:created>
  <dc:creator>Wusheng Zhang</dc:creator>
  <cp:lastModifiedBy>Wusheng Zhang</cp:lastModifiedBy>
  <dcterms:modified xsi:type="dcterms:W3CDTF">2021-12-30T03:29:24Z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2021-12-30T00:00:00Z</vt:filetime>
  </property>
  <property fmtid="{D5CDD505-2E9C-101B-9397-08002B2CF9AE}" pid="5" name="KSOProductBuildVer">
    <vt:lpwstr>1033-11.2.0.10426</vt:lpwstr>
  </property>
  <property fmtid="{D5CDD505-2E9C-101B-9397-08002B2CF9AE}" pid="6" name="ICV">
    <vt:lpwstr>26A0FC30D05F46EC9B5E6E745E47FF88</vt:lpwstr>
  </property>
</Properties>
</file>