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AIGC: ContentProducer: '001191110102MAD55U9H0F10002' ContentPropagator: '001191110102MAD55U9H0F10002' Label: '1' ProduceID: 'a4deb669-caff-4080-91dc-b2df200844a1' PropagateID: 'a4deb669-caff-4080-91dc-b2df200844a1' ReservedCode1: '7aaad6d8-ea64-45be-8487-a40cd02f003e' ReservedCode2: '7aaad6d8-ea64-45be-8487-a40cd02f003e' ---</w:t>
      </w:r>
    </w:p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账外工程整改工作周通报</w:t>
      </w:r>
    </w:p>
    <w:p>
      <w:r>
        <w:t xml:space="preserve">（9月10日—9月11日）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一、整体情况</w:t>
      </w:r>
    </w:p>
    <w:p>
      <w:r>
        <w:t xml:space="preserve">截至9月11日，全省账外工程整改指标共 180 个（其中疑似预告警站点 117 个，疑似已账外且未立项站点 63 个），较9月10日（235 个）压降 55 个，降幅 23.4%。较7月31日（2273 个）累计压降 2093 个，累计降幅 92.1%。其中：</w:t>
      </w:r>
    </w:p>
    <w:p>
      <w:pPr>
        <w:pStyle w:val="ListParagraph"/>
        <w:numPr>
          <w:ilvl w:val="0"/>
          <w:numId w:val="2"/>
        </w:numPr>
      </w:pPr>
      <w:r>
        <w:t xml:space="preserve">疑似预告警站点：137 → 117，压降 20 个（14.6%）；</w:t>
      </w:r>
    </w:p>
    <w:p>
      <w:pPr>
        <w:pStyle w:val="ListParagraph"/>
        <w:numPr>
          <w:ilvl w:val="0"/>
          <w:numId w:val="2"/>
        </w:numPr>
      </w:pPr>
      <w:r>
        <w:t xml:space="preserve">疑似已账外且未立项站点：98 → 63，压降 35 个（35.7%）；</w:t>
      </w:r>
    </w:p>
    <w:p>
      <w:pPr>
        <w:pStyle w:val="ListParagraph"/>
        <w:numPr>
          <w:ilvl w:val="0"/>
          <w:numId w:val="2"/>
        </w:numPr>
      </w:pPr>
      <w:r>
        <w:t xml:space="preserve">疑似已账外且已立项站点：1351 个（既定事实，不纳入整改）。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二、整改成效前三名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恩施</w:t>
      </w:r>
      <w:r>
        <w:t xml:space="preserve">：整改指标 73 → 50，压降 23 个。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孝感</w:t>
      </w:r>
      <w:r>
        <w:t xml:space="preserve">：整改指标 47 → 29，压降 18 个。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武汉</w:t>
      </w:r>
      <w:r>
        <w:t xml:space="preserve">：整改指标 56 → 49，压降 7 个。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三、需重点关注单位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神农架</w:t>
      </w:r>
      <w:r>
        <w:t xml:space="preserve">：整改指标 9 → 13，上升 4 个，整改推进较慢。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荆门</w:t>
      </w:r>
      <w:r>
        <w:t xml:space="preserve">：整改指标 10 → 12，上升 2 个，整改推进较慢。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荆州</w:t>
      </w:r>
      <w:r>
        <w:t xml:space="preserve">：整改指标 6 → 6，无压降，整改推进较慢。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四、全部分公司明细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上期(9月10日)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本期(9月11日)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周变化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恩施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孝感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武汉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随州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省公司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十堰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宜昌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襄阳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仙桃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咸宁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天门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潜江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鄂州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神农架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+4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五、重点专业</w:t>
      </w:r>
    </w:p>
    <w:p>
      <w:r>
        <w:rPr>
          <w:b/>
          <w:bCs/>
        </w:rPr>
        <w:t xml:space="preserve">有线接入网</w:t>
      </w:r>
      <w:r>
        <w:t xml:space="preserve">为整改重点，本期整改指标 136 个，压降 38 个（21.8%），占全省总压降量 69.1%。其中疑似预告警站点 126 → 108，疑似已账外且未立项站点 48 → 28。</w:t>
      </w:r>
    </w:p>
    <w:p>
      <w:r>
        <w:rPr>
          <w:b/>
          <w:bCs/>
        </w:rPr>
        <w:t xml:space="preserve">无线网</w:t>
      </w:r>
      <w:r>
        <w:t xml:space="preserve">整改指标 35 个，压降 14 个（28.6%）。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六、下一步要求</w:t>
      </w:r>
    </w:p>
    <w:p>
      <w:r>
        <w:t xml:space="preserve">请神农架、荆门、荆州等分公司加快整改推进，确保整改指标明显压降。其他分公司保持整改力度，巩固压降成效，防止指标反弹。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账外工程整改工作周通报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2026-09-11T08:50:46.654Z</dcterms:created>
  <dcterms:modified xsi:type="dcterms:W3CDTF">2026-09-11T08:50:46.654Z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