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AIGC: ContentProducer: '001191110102MAD55U9H0F10002' ContentPropagator: '001191110102MAD55U9H0F10002' Label: '1' ProduceID: 'b3a7f2c1-8d94-4e6a-b2e5-91f2c0d7e8a3' PropagateID: 'b3a7f2c1-8d94-4e6a-b2e5-91f2c0d7e8a3' ReservedCode1: 'd4c9e1f5-3a8b-4f7d-a6c2-0b1e3d5f9g7h' ReservedCode2: 'd4c9e1f5-3a8b-4f7d-a6c2-0b1e3d5f9g7h' ---</w:t>
      </w:r>
    </w:p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账外工程整改工作周通报</w:t>
      </w:r>
    </w:p>
    <w:p>
      <w:r>
        <w:t xml:space="preserve">（9月15日—9月16日）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一、整体情况</w:t>
      </w:r>
    </w:p>
    <w:p>
      <w:r>
        <w:t xml:space="preserve">截至9月16日，全省账外工程整改指标共 112 个（全部为疑似预告警站点 112 个，疑似已账外且未立项站点已全部清零），较9月15日（150 个）压降 38 个，降幅 25.3%。较7月31日（2273 个）累计压降 2161 个，累计降幅 95.1%。其中：</w:t>
      </w:r>
    </w:p>
    <w:p>
      <w:pPr>
        <w:pStyle w:val="ListParagraph"/>
        <w:numPr>
          <w:ilvl w:val="0"/>
          <w:numId w:val="2"/>
        </w:numPr>
      </w:pPr>
      <w:r>
        <w:t xml:space="preserve">疑似预告警站点：123 → 112，压降 11 个（8.9%）；</w:t>
      </w:r>
    </w:p>
    <w:p>
      <w:pPr>
        <w:pStyle w:val="ListParagraph"/>
        <w:numPr>
          <w:ilvl w:val="0"/>
          <w:numId w:val="2"/>
        </w:numPr>
      </w:pPr>
      <w:r>
        <w:t xml:space="preserve">疑似已账外且未立项站点：27 → 0，压降 27 个，</w:t>
      </w:r>
      <w:r>
        <w:rPr>
          <w:b/>
          <w:bCs/>
        </w:rPr>
        <w:t xml:space="preserve">首次实现全部清零</w:t>
      </w:r>
      <w:r>
        <w:t xml:space="preserve">；</w:t>
      </w:r>
    </w:p>
    <w:p>
      <w:pPr>
        <w:pStyle w:val="ListParagraph"/>
        <w:numPr>
          <w:ilvl w:val="0"/>
          <w:numId w:val="2"/>
        </w:numPr>
      </w:pPr>
      <w:r>
        <w:t xml:space="preserve">疑似已账外且已立项站点：1352 个（既定事实，不纳入整改）。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二、整改成效前三名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恩施</w:t>
      </w:r>
      <w:r>
        <w:t xml:space="preserve">：整改指标 46 → 31，压降 15 个。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武汉</w:t>
      </w:r>
      <w:r>
        <w:t xml:space="preserve">：整改指标 14 → 1，压降 13 个。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孝感</w:t>
      </w:r>
      <w:r>
        <w:t xml:space="preserve">：整改指标 29 → 26，压降 3 个。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荆门</w:t>
      </w:r>
      <w:r>
        <w:t xml:space="preserve">：整改指标 12 → 9，压降 3 个。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三、需重点关注单位</w:t>
      </w:r>
    </w:p>
    <w:p>
      <w:r>
        <w:t xml:space="preserve">本期全省 18 家分公司整改指标无一家上升，整改工作进入全面收敛阶段。请各单位保持整改力度，确保已清零项目不反弹、余量告警工程尽快立项销号。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四、全部分公司明细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上期(9月15日)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本期(9月16日)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周变化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恩施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武汉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孝感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咸宁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省公司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随州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仙桃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十堰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天门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宜昌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潜江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神农架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荆州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襄阳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鄂州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五、重点专业</w:t>
      </w:r>
    </w:p>
    <w:p>
      <w:r>
        <w:rPr>
          <w:b/>
          <w:bCs/>
        </w:rPr>
        <w:t xml:space="preserve">有线接入网</w:t>
      </w:r>
      <w:r>
        <w:t xml:space="preserve">为整改重点，本期整改指标 106 个，较上期压降 30 个（22.1%），占全省整改指标 94.6%。</w:t>
      </w:r>
    </w:p>
    <w:p>
      <w:r>
        <w:rPr>
          <w:b/>
          <w:bCs/>
        </w:rPr>
        <w:t xml:space="preserve">无线网</w:t>
      </w:r>
      <w:r>
        <w:t xml:space="preserve">整改指标 6 个，压降 4 个，局房及基础设施、数据中心、数据网、传输网均已清零。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六、下一步要求</w:t>
      </w:r>
    </w:p>
    <w:p>
      <w:r>
        <w:t xml:space="preserve">全省已账外且未立项站点已全部清零，整改成果显著。请各单位继续盯紧余量 112 个疑似预告警站点，加快项目立项和销号进度，特别是恩施（31 个）、孝感（26 个）、黄冈（16 个）等余量较大单位，确保整改指标持续压降，防止已清零站点反弹。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账外工程整改工作周通报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2026-09-16T08:55:53.341Z</dcterms:created>
  <dcterms:modified xsi:type="dcterms:W3CDTF">2026-09-16T08:55:53.341Z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