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账外工程整改工作周通报</w:t>
      </w:r>
    </w:p>
    <w:p>
      <w:pPr>
        <w:ind w:firstLine="480"/>
      </w:pPr>
      <w:r>
        <w:t xml:space="preserve">（9月14日-9月15日）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一、整体情况</w:t>
      </w:r>
    </w:p>
    <w:p>
      <w:pPr>
        <w:ind w:firstLine="480"/>
      </w:pPr>
      <w:r>
        <w:t xml:space="preserve">截至9月15日，全省账外工程整改指标共 150 个（账外预告警站点 123 个、疑似已账外且未立项站点 27 个），较9月14日（整改指标 179 个）一周内压降 29 个，降幅 16.2%。较7月31日（整改指标 2273 个）累计压降 2123 个，累计降幅 93.4%。其中：</w:t>
      </w:r>
    </w:p>
    <w:p>
      <w:pPr>
        <w:ind w:firstLine="480"/>
      </w:pPr>
      <w:r>
        <w:t xml:space="preserve">账外预告警站点：124 个 → 123 个，压降 1 个（-0.8%）。</w:t>
      </w:r>
    </w:p>
    <w:p>
      <w:pPr>
        <w:ind w:firstLine="480"/>
      </w:pPr>
      <w:r>
        <w:t xml:space="preserve">疑似已账外且未立项站点：55 个 → 27 个，压降 28 个（-50.9%）。</w:t>
      </w:r>
    </w:p>
    <w:p>
      <w:pPr>
        <w:ind w:firstLine="480"/>
      </w:pPr>
      <w:r>
        <w:t xml:space="preserve">另有已账外且已立项站点 1352 个为既定事实，不再纳入整改范围。各分公司整改工作总体推进有力，整改完成率明显提升，但仍有个别分公司指标不降反升，需重点关注。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二、分公司整改成效排名</w:t>
      </w:r>
    </w:p>
    <w:p>
      <w:pPr>
        <w:ind w:firstLine="480"/>
      </w:pPr>
      <w:r>
        <w:t xml:space="preserve">整改成效较好的前三名：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排名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分公司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9月14日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9月15日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周压降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武汉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-27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襄阳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-7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孝感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-3</w:t>
            </w:r>
          </w:p>
        </w:tc>
      </w:tr>
    </w:tbl>
    <w:p>
      <w:pPr>
        <w:ind w:firstLine="480"/>
      </w:pPr>
      <w:r>
        <w:t xml:space="preserve">整改推进较慢的后三名分公司：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排名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分公司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9月14日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9月15日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周变化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倒数1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恩施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+6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倒数2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荆州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倒数3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黄冈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</w:tbl>
    <w:p>
      <w:pPr>
        <w:ind w:firstLine="480"/>
      </w:pPr>
      <w:r>
        <w:t xml:space="preserve">各分公司整改指标变化明细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分公司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9月14日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9月15日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周变化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武汉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襄阳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孝感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神农架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咸宁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潜江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省公司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随州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十堰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天门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宜昌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鄂州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仙桃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恩施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+6</w:t>
            </w:r>
          </w:p>
        </w:tc>
      </w:tr>
    </w:tbl>
    <w:p>
      <w:pPr>
        <w:ind w:firstLine="480"/>
      </w:pPr>
      <w:r>
        <w:t xml:space="preserve">&gt; 注：整改指标 = 账外预告警站点数 + 疑似已账外且未立项站点数。恩施、荆州指标不降反升，需重点督办。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三、重点专业整改情况</w:t>
      </w:r>
    </w:p>
    <w:p>
      <w:pPr>
        <w:ind w:firstLine="480"/>
      </w:pPr>
      <w:r>
        <w:t xml:space="preserve">有线接入网为整改重点专业，整改指标占比超90%，是全省整改指标的主要构成部分。本周无线网压降成效突出，环比压降20个，为本周整改成效最大来源。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专业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9月14日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9月15日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周压降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有线接入网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整改指标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-5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有线接入网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告警未立项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+3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有线接入网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已账外未立项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-8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无线网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整改指标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-20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无线网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告警未立项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-4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无线网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已账外未立项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-16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局房及基础设施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整改指标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-4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局房及基础设施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告警未立项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局房及基础设施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已账外未立项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-4</w:t>
            </w:r>
          </w:p>
        </w:tc>
      </w:tr>
    </w:tbl>
    <w:p>
      <w:pPr>
        <w:ind w:firstLine="480"/>
      </w:pPr>
      <w:r>
        <w:t xml:space="preserve">有线接入网专业整改指标 136 个，占全省总指标（150 个）的 90.7%，其中疑似已账外且未立项站点压降 8 个，推进力度持续。无线网本周压降 20 个，占全省总压降量（29 个）的 69.0%，其中疑似已账外且未立项站点压降 16 个，成效显著。局房及基础设施、传输网、数据中心等专业整改指标基数较小，需同步关注整改进度，防止账外问题向其他专业蔓延。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四、下一步工作要求</w:t>
      </w:r>
    </w:p>
    <w:p>
      <w:pPr>
        <w:ind w:firstLine="480"/>
      </w:pPr>
      <w:r>
        <w:t xml:space="preserve">恩施、荆州分公司要查明整改指标不降反升的原因，倒排工期，逐站销号，确保整改指标持续压降。</w:t>
      </w:r>
    </w:p>
    <w:p>
      <w:pPr>
        <w:ind w:firstLine="480"/>
      </w:pPr>
      <w:r>
        <w:t xml:space="preserve">已账外且已立项站点为既定事实，各分公司要举一反三，从源头规范"先立项、后施工"流程，杜绝新增账外工程。</w:t>
      </w:r>
    </w:p>
    <w:p>
      <w:pPr>
        <w:ind w:firstLine="480"/>
      </w:pPr>
      <w:r>
        <w:t xml:space="preserve">各分公司要对照剩余整改清单，于9月30日前完成整改销号，确保月底账外工程整改目标全面达成。</w:t>
      </w:r>
    </w:p>
    <w:p>
      <w:pPr>
        <w:ind w:firstLine="480"/>
      </w:pPr>
      <w:r>
        <w:t xml:space="preserve">&gt; AI生成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账外工程整改工作周通报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2026-09-15T10:14:15.915Z</dcterms:created>
  <dcterms:modified xsi:type="dcterms:W3CDTF">2026-09-15T10:14:15.915Z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