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480"/>
      </w:pPr>
      <w:r>
        <w:t xml:space="preserve">AIGC: ContentProducer: '001191110102MAD55U9H0F10002' ContentPropagator: '001191110102MAD55U9H0F10002' Label: '1' ProduceID: 'a4deb669-caff-4080-91dc-b2df200844a1' PropagateID: 'a4deb669-caff-4080-91dc-b2df200844a1' ReservedCode1: '7aaad6d8-ea64-45be-8487-a40cd02f003e' ReservedCode2: '7aaad6d8-ea64-45be-8487-a40cd02f003e' ---</w:t>
      </w:r>
    </w:p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pPr>
        <w:ind w:firstLine="480"/>
      </w:pPr>
      <w:r>
        <w:t xml:space="preserve">（9月17日—9月24日）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pPr>
        <w:ind w:firstLine="480"/>
      </w:pPr>
      <w:r>
        <w:t xml:space="preserve">截至9月24日，全省账外工程整改指标为238个，较9月16日（112个）增加126个，整改指标出现较大反弹。其中，账外预告警未立项231个，较9月16日（112个）增加119个；疑似已账外且未立项7个，较9月16日（0个）增加7个，上期“疑似已账外且未立项全部清零”成果未能保持。疑似已账外且已立项1357个，较9月16日增加5个。</w:t>
      </w:r>
    </w:p>
    <w:p>
      <w:pPr>
        <w:ind w:firstLine="480"/>
      </w:pPr>
      <w:r>
        <w:t xml:space="preserve">自7月31日开展专项整改以来，累计压降2035个，累计降幅89.5%。本期反弹幅度较大，为自8月28日以来最大单期反弹，主要原因为账外预告警未立项站点数大幅增加（+119个），需引起高度关注。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二、整改成效前三名</w:t>
      </w:r>
    </w:p>
    <w:p>
      <w:pPr>
        <w:ind w:firstLine="480"/>
      </w:pPr>
      <w:r>
        <w:t xml:space="preserve">本期整改成效排名前三的分公司为：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9月16日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成效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压降明显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</w:tbl>
    <w:p>
      <w:pPr>
        <w:ind w:firstLine="480"/>
      </w:pPr>
      <w:r>
        <w:t xml:space="preserve">恩施分公司本期压降28个，整改指标由31个降至3个，成效显著；神农架分公司整改指标由13个降至0个，实现全部清零；咸宁分公司持续压降，由4个降至1个。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三、需重点关注单位</w:t>
      </w:r>
    </w:p>
    <w:p>
      <w:pPr>
        <w:ind w:firstLine="480"/>
      </w:pPr>
      <w:r>
        <w:t xml:space="preserve">本期共有7家分公司整改指标上升，需重点督办：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9月16日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上升原因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告警及未立项均有增加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</w:tbl>
    <w:p>
      <w:pPr>
        <w:ind w:firstLine="480"/>
      </w:pPr>
      <w:r>
        <w:t xml:space="preserve">上述7家分公司整改指标合计上升173个，其中黄冈、荆州、武汉三家合计上升139个。压降分公司合计减少47个，部分抵消后全省净增126个。请上述单位深入核查新增告警未立项站点情况，加快推进立项整改工作。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四、全部分公司明细</w:t>
      </w:r>
    </w:p>
    <w:tbl>
      <w:tblPr>
        <w:tblW w:type="dxa" w:w="90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7月31日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9月16日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周变化（16→24日）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整改成效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270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省公司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鄂州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压降明显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五、重点专业</w:t>
      </w:r>
    </w:p>
    <w:p>
      <w:pPr>
        <w:ind w:firstLine="480"/>
      </w:pPr>
      <w:r>
        <w:t xml:space="preserve">本期整改指标主要集中在有线接入网和无线网两个专业：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9月16日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占比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有线接入网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92.0%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无线网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8.0%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传输网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局房及基础设施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ind w:firstLine="480"/>
      </w:pPr>
      <w:r>
        <w:t xml:space="preserve">有线接入网本期反弹113个，占整改指标总量的92.0%，是本期反弹的主要专业领域。无线网反弹13个。传输网、局房及基础设施、数据中心、数据网四个专业保持清零。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六、下一步工作要求</w:t>
      </w:r>
    </w:p>
    <w:p>
      <w:pPr>
        <w:ind w:firstLine="480"/>
      </w:pPr>
      <w:r>
        <w:t xml:space="preserve">一是迅速核查反弹原因。请黄冈、荆州、武汉、仙桃、孝感、襄阳、随州等7家指标上升单位，于一周内完成新增账外预告警未立项站点的逐项核查，明确上升原因，形成核查报告报省公司。</w:t>
      </w:r>
    </w:p>
    <w:p>
      <w:pPr>
        <w:ind w:firstLine="480"/>
      </w:pPr>
      <w:r>
        <w:t xml:space="preserve">二是加快立项整改进度。各分公司应对新增告警未立项站点建立台账，逐站制定立项计划，明确责任人和完成时限，确保按照既定目标加快推进。</w:t>
      </w:r>
    </w:p>
    <w:p>
      <w:pPr>
        <w:ind w:firstLine="480"/>
      </w:pPr>
      <w:r>
        <w:t xml:space="preserve">三是巩固已清零成果。恩施、神农架、潜江等本期实现清零或大幅压降的单位，应建立长效管控机制，防止问题反弹回潮。</w:t>
      </w:r>
    </w:p>
    <w:p>
      <w:pPr>
        <w:ind w:firstLine="480"/>
      </w:pPr>
      <w:r>
        <w:t xml:space="preserve">四是持续关注有线接入网。有线接入网占整改指标总量92.0%，是整改工作的重中之重。各相关单位应重点围绕有线接入网专业加大整改力度，遏制反弹趋势。</w:t>
      </w:r>
    </w:p>
    <w:p>
      <w:pPr>
        <w:ind w:firstLine="480"/>
      </w:pPr>
      <w:r>
        <w:t xml:space="preserve">五是加强数据动态监测。省公司将持续跟踪各地市整改进展，对连续两期指标上升的单位进行约谈提醒。</w:t>
      </w:r>
    </w:p>
    <w:p>
      <w:pPr>
        <w:ind w:firstLine="480"/>
      </w:pPr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2026-09-24T06:21:54.804Z</dcterms:created>
  <dcterms:modified xsi:type="dcterms:W3CDTF">2026-09-24T06:21:54.804Z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