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账外工程整改工作周通报</w:t>
      </w:r>
    </w:p>
    <w:p>
      <w:r>
        <w:rPr>
          <w:b/>
          <w:bCs/>
        </w:rPr>
        <w:t xml:space="preserve">（9月25日—10月10日）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一、整体情况</w:t>
      </w:r>
    </w:p>
    <w:p>
      <w:r>
        <w:t xml:space="preserve">截至10月10日，全省账外工程整改指标为368个，较9月24日（238个）增加130个，整改指标连续两期大幅反弹。其中，账外预告警未立项366个，较9月24日（231个）增加135个，是本期反弹的主要来源；疑似已账外且未立项2个，较9月24日（7个）减少5个；疑似已账外且已立项1368个，较9月24日增加11个。</w:t>
      </w:r>
    </w:p>
    <w:p>
      <w:r>
        <w:t xml:space="preserve">自7月31日开展专项整改以来，累计压降1905个，累计降幅83.8%，较上期（89.5%）回落5.7个百分点。本期反弹幅度进一步加大，账外预告警未立项站点数集中增加，需引起高度关注。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二、整改成效前三名</w:t>
      </w:r>
    </w:p>
    <w:p>
      <w:r>
        <w:t xml:space="preserve">本期整改成效排名前三的分公司为：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排名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9月24日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10月10日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成效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荆门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持续压降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</w:tbl>
    <w:p>
      <w:r>
        <w:t xml:space="preserve">黄冈分公司本期压降86个，整改指标由86个降至0个，实现全部清零，成效显著；随州分公司同步清零；荆门分公司持续压降。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三、需重点关注单位</w:t>
      </w:r>
    </w:p>
    <w:p>
      <w:r>
        <w:t xml:space="preserve">本期共有10家分公司整改指标上升，需重点督办：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9月24日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10月10日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上升原因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告警未立项大幅增加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告警未立项大幅增加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告警未立项大幅增加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告警未立项大幅增加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告警未立项大幅增加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新增告警未立项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告警未立项增加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潜江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新增告警未立项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新增告警未立项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新增告警未立项</w:t>
            </w:r>
          </w:p>
        </w:tc>
      </w:tr>
    </w:tbl>
    <w:p>
      <w:r>
        <w:t xml:space="preserve">上述10家分公司整改指标合计上升218个。其中孝感、荆州、武汉三家合计上升177个，占本期上升总量的81.2%，是本期反弹的主要来源。请上述单位深入核查新增告警未立项站点情况，倒排工期加快推进立项整改。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四、全部分公司明细</w:t>
      </w:r>
    </w:p>
    <w:tbl>
      <w:tblPr>
        <w:tblW w:type="dxa" w:w="90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7月31日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9月24日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10月10日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周变化（24日→10日）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整改成效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270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潜江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天门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指标上升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仙桃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黄石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荆门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持续压降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全部清零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省公司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神农架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鄂州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五、重点专业</w:t>
      </w:r>
    </w:p>
    <w:p>
      <w:r>
        <w:t xml:space="preserve">本期整改指标主要集中在有线接入网和无线网两个专业：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9月24日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10月10日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占比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有线接入网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+101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87.0%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无线网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13.0%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传输网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局房及基础设施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数据中心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r>
        <w:t xml:space="preserve">有线接入网本期反弹101个，占整改指标总量的87.0%，是本期反弹的主要专业领域。无线网反弹29个，占13.0%。传输网、局房及基础设施、数据中心、数据网四个专业保持清零。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六、下一步工作要求</w:t>
      </w:r>
    </w:p>
    <w:p>
      <w:r>
        <w:t xml:space="preserve">一是迅速核查反弹原因。请孝感、荆州、武汉、咸宁、恩施、十堰、襄阳等7家指标上升单位，于一周内完成新增账外预告警未立项站点的逐项核查，明确上升原因，形成核查报告报省公司。孝感、荆州、武汉三家上升量占本期总量八成以上，务必重点督办。</w:t>
      </w:r>
    </w:p>
    <w:p>
      <w:r>
        <w:t xml:space="preserve">二是加快立项整改进度。各分公司应对新增告警未立项站点建立台账，逐站制定立项计划，明确责任人和完成时限，遏制反弹势头。</w:t>
      </w:r>
    </w:p>
    <w:p>
      <w:r>
        <w:t xml:space="preserve">三是巩固清零成果。黄冈、随州本期实现清零，荆门持续压降，应建立长效管控机制，防止问题反弹回潮。</w:t>
      </w:r>
    </w:p>
    <w:p>
      <w:r>
        <w:t xml:space="preserve">四是持续关注有线接入网。有线接入网占整改指标总量87.0%，是整改工作的重中之重。各相关单位应重点围绕有线接入网专业加大整改力度，尽快恢复压降态势。</w:t>
      </w:r>
    </w:p>
    <w:p>
      <w:r>
        <w:t xml:space="preserve">五是加强数据动态监测。省公司将持续跟踪各地市整改进展，对连续两期指标上升的单位进行约谈提醒。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账外工程整改工作周通报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2026-10-10T08:54:49.433Z</dcterms:created>
  <dcterms:modified xsi:type="dcterms:W3CDTF">2026-10-10T08:54:49.433Z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