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EA2AE3">
      <w:pPr>
        <w:pStyle w:val="9"/>
      </w:pPr>
      <w:r>
        <w:t>Yang Wu, Ph.D.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758"/>
        <w:gridCol w:w="6468"/>
      </w:tblGrid>
      <w:tr w14:paraId="18906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D3D2CE5">
            <w:r>
              <w:rPr>
                <w:b/>
                <w:bCs/>
              </w:rPr>
              <w:t>Affiliation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B688558">
            <w:r>
              <w:t>Institute of Molecular and Cell Biology (IMCB), Agency for Science, Technology and Research (A*STAR), Singapore</w:t>
            </w:r>
          </w:p>
        </w:tc>
      </w:tr>
      <w:tr w14:paraId="57631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9EA0724">
            <w:r>
              <w:rPr>
                <w:b/>
                <w:bCs/>
              </w:rPr>
              <w:t>Address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24B2DA3">
            <w:r>
              <w:t>#05-01 Proteos Building, 61 Biopolis Drive, Singapore 138673</w:t>
            </w:r>
          </w:p>
        </w:tc>
      </w:tr>
      <w:tr w14:paraId="2373E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8405974">
            <w:r>
              <w:rPr>
                <w:b/>
                <w:bCs/>
              </w:rPr>
              <w:t>Phone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A16D2F7">
            <w:r>
              <w:t>+86-18665322610</w:t>
            </w:r>
          </w:p>
        </w:tc>
      </w:tr>
      <w:tr w14:paraId="319EF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D3E7E38">
            <w:r>
              <w:rPr>
                <w:b/>
                <w:bCs/>
              </w:rPr>
              <w:t>Email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284CB7A">
            <w:r>
              <w:fldChar w:fldCharType="begin"/>
            </w:r>
            <w:r>
              <w:instrText xml:space="preserve"> HYPERLINK "mailto:wu_yang@a-star.edu.sg" </w:instrText>
            </w:r>
            <w:r>
              <w:fldChar w:fldCharType="separate"/>
            </w:r>
            <w:r>
              <w:rPr>
                <w:rStyle w:val="12"/>
                <w:color w:val="0563C1"/>
                <w:u w:val="single"/>
              </w:rPr>
              <w:t>wu_yang@a-star.edu.sg</w:t>
            </w:r>
            <w:r>
              <w:rPr>
                <w:rStyle w:val="12"/>
                <w:color w:val="0563C1"/>
                <w:u w:val="single"/>
              </w:rPr>
              <w:fldChar w:fldCharType="end"/>
            </w:r>
            <w:r>
              <w:t xml:space="preserve"> (Institutional) </w:t>
            </w:r>
            <w:r>
              <w:fldChar w:fldCharType="begin"/>
            </w:r>
            <w:r>
              <w:instrText xml:space="preserve"> HYPERLINK "mailto:wuyangff95@protonmail.com" </w:instrText>
            </w:r>
            <w:r>
              <w:fldChar w:fldCharType="separate"/>
            </w:r>
            <w:r>
              <w:rPr>
                <w:rStyle w:val="12"/>
                <w:color w:val="0563C1"/>
                <w:u w:val="single"/>
              </w:rPr>
              <w:t>wuyangff95@protonmail.com</w:t>
            </w:r>
            <w:r>
              <w:rPr>
                <w:rStyle w:val="12"/>
                <w:color w:val="0563C1"/>
                <w:u w:val="single"/>
              </w:rPr>
              <w:fldChar w:fldCharType="end"/>
            </w:r>
            <w:r>
              <w:t xml:space="preserve"> (Personal)</w:t>
            </w:r>
          </w:p>
        </w:tc>
      </w:tr>
      <w:tr w14:paraId="20DD4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2041ECC">
            <w:r>
              <w:rPr>
                <w:b/>
                <w:bCs/>
              </w:rPr>
              <w:t>ORCID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2CFD946">
            <w:r>
              <w:fldChar w:fldCharType="begin"/>
            </w:r>
            <w:r>
              <w:instrText xml:space="preserve"> HYPERLINK "https://orcid.org/0000-0002-1837-8330" </w:instrText>
            </w:r>
            <w:r>
              <w:fldChar w:fldCharType="separate"/>
            </w:r>
            <w:r>
              <w:rPr>
                <w:rStyle w:val="12"/>
                <w:color w:val="0563C1"/>
                <w:u w:val="single"/>
              </w:rPr>
              <w:t>https://orcid.org/0000-0002-1837-8330</w:t>
            </w:r>
            <w:r>
              <w:rPr>
                <w:rStyle w:val="12"/>
                <w:color w:val="0563C1"/>
                <w:u w:val="single"/>
              </w:rPr>
              <w:fldChar w:fldCharType="end"/>
            </w:r>
          </w:p>
        </w:tc>
      </w:tr>
    </w:tbl>
    <w:p w14:paraId="4B9FC9D9"/>
    <w:p w14:paraId="2F8C8C41">
      <w:pPr>
        <w:pStyle w:val="2"/>
      </w:pPr>
      <w:r>
        <w:t>Employment</w:t>
      </w:r>
    </w:p>
    <w:p w14:paraId="6206898D">
      <w:r>
        <w:rPr>
          <w:b/>
          <w:bCs/>
        </w:rPr>
        <w:t>Feb 2023 ~ Present</w:t>
      </w:r>
    </w:p>
    <w:p w14:paraId="0CC3B8CB">
      <w:r>
        <w:t>Postdoctoral Fellow &amp; Bioinformatics Analyst, Institute of Molecular and Cell Biology (IMCB), Agency for Science, Technology and Research (A*STAR), Singapore</w:t>
      </w:r>
    </w:p>
    <w:p w14:paraId="17CC293A"/>
    <w:p w14:paraId="4833523A">
      <w:r>
        <w:rPr>
          <w:b/>
          <w:bCs/>
        </w:rPr>
        <w:t>Aug 2022 ~ Jan 2023</w:t>
      </w:r>
    </w:p>
    <w:p w14:paraId="10447A7C">
      <w:r>
        <w:t>Postdoctoral Fellow, Duke-NUS Medical School, National University of Singapore (NUS)</w:t>
      </w:r>
    </w:p>
    <w:p w14:paraId="0DAEEB1A"/>
    <w:p w14:paraId="64F7364E">
      <w:pPr>
        <w:pStyle w:val="2"/>
      </w:pPr>
      <w:r>
        <w:t>Education</w:t>
      </w:r>
    </w:p>
    <w:p w14:paraId="11E5CA43">
      <w:r>
        <w:rPr>
          <w:b/>
          <w:bCs/>
        </w:rPr>
        <w:t>Aug 2017 ~ Jul 2022</w:t>
      </w:r>
    </w:p>
    <w:p w14:paraId="13E1488D">
      <w:r>
        <w:t>Ph.D. in Computational Biology, Duke-NUS Medical School, National University of Singapore</w:t>
      </w:r>
    </w:p>
    <w:p w14:paraId="6A4EB370"/>
    <w:p w14:paraId="7BFCFCDA">
      <w:r>
        <w:rPr>
          <w:b/>
          <w:bCs/>
        </w:rPr>
        <w:t>Sep 2013 ~ Jun 2017</w:t>
      </w:r>
    </w:p>
    <w:p w14:paraId="5631DCA0">
      <w:r>
        <w:t>B.Sc. in Biological Sciences, School of Life Sciences, Fudan University, China</w:t>
      </w:r>
    </w:p>
    <w:p w14:paraId="170CF196"/>
    <w:p w14:paraId="695F3D2B">
      <w:pPr>
        <w:pStyle w:val="2"/>
      </w:pPr>
      <w:r>
        <w:t>Professional Skills and Research Overview</w:t>
      </w:r>
    </w:p>
    <w:p w14:paraId="10DFF305">
      <w:pPr>
        <w:pStyle w:val="14"/>
        <w:numPr>
          <w:ilvl w:val="0"/>
          <w:numId w:val="1"/>
        </w:numPr>
      </w:pPr>
      <w:r>
        <w:rPr>
          <w:b/>
          <w:bCs/>
        </w:rPr>
        <w:t>Bioinformatics - Cohort analysis of genomic, transcriptomic, and health data to identify disease-associated mutations and risk factors</w:t>
      </w:r>
    </w:p>
    <w:p w14:paraId="066B71EF">
      <w:pPr>
        <w:pStyle w:val="14"/>
        <w:numPr>
          <w:ilvl w:val="0"/>
          <w:numId w:val="2"/>
        </w:numPr>
      </w:pPr>
      <w:r>
        <w:t>Association studies (GWAS, TWAS)</w:t>
      </w:r>
    </w:p>
    <w:p w14:paraId="4F17CE55">
      <w:pPr>
        <w:pStyle w:val="14"/>
        <w:numPr>
          <w:ilvl w:val="0"/>
          <w:numId w:val="2"/>
        </w:numPr>
      </w:pPr>
      <w:r>
        <w:t>Comorbidity analysis</w:t>
      </w:r>
    </w:p>
    <w:p w14:paraId="120DD093">
      <w:pPr>
        <w:pStyle w:val="14"/>
        <w:numPr>
          <w:ilvl w:val="0"/>
          <w:numId w:val="2"/>
        </w:numPr>
      </w:pPr>
      <w:r>
        <w:t>Disease risk factor mining</w:t>
      </w:r>
    </w:p>
    <w:p w14:paraId="4836377C">
      <w:pPr>
        <w:pStyle w:val="14"/>
        <w:numPr>
          <w:ilvl w:val="0"/>
          <w:numId w:val="1"/>
        </w:numPr>
      </w:pPr>
      <w:r>
        <w:rPr>
          <w:b/>
          <w:bCs/>
        </w:rPr>
        <w:t>Bioinformatics - Tumor immune microenvironment profiling</w:t>
      </w:r>
    </w:p>
    <w:p w14:paraId="7F573574">
      <w:pPr>
        <w:pStyle w:val="14"/>
        <w:numPr>
          <w:ilvl w:val="0"/>
          <w:numId w:val="2"/>
        </w:numPr>
      </w:pPr>
      <w:r>
        <w:t>Single-cell transcriptomics analysis</w:t>
      </w:r>
    </w:p>
    <w:p w14:paraId="0D88A01F">
      <w:pPr>
        <w:pStyle w:val="14"/>
        <w:numPr>
          <w:ilvl w:val="0"/>
          <w:numId w:val="2"/>
        </w:numPr>
      </w:pPr>
      <w:r>
        <w:t>Spatial transcriptomics (Stereo-seq, 10X Visium, 10X Xenium)</w:t>
      </w:r>
    </w:p>
    <w:p w14:paraId="36537CFE">
      <w:pPr>
        <w:pStyle w:val="14"/>
        <w:numPr>
          <w:ilvl w:val="0"/>
          <w:numId w:val="2"/>
        </w:numPr>
      </w:pPr>
      <w:r>
        <w:t>Flow cytometry data analysis (Cytek)</w:t>
      </w:r>
    </w:p>
    <w:p w14:paraId="5D8078CD">
      <w:pPr>
        <w:pStyle w:val="14"/>
        <w:numPr>
          <w:ilvl w:val="0"/>
          <w:numId w:val="1"/>
        </w:numPr>
      </w:pPr>
      <w:r>
        <w:rPr>
          <w:b/>
          <w:bCs/>
        </w:rPr>
        <w:t>Tumor neoantigen discovery</w:t>
      </w:r>
    </w:p>
    <w:p w14:paraId="04F1E055">
      <w:pPr>
        <w:pStyle w:val="14"/>
        <w:numPr>
          <w:ilvl w:val="0"/>
          <w:numId w:val="2"/>
        </w:numPr>
      </w:pPr>
      <w:r>
        <w:t>PacBio Isoseq long-read sequencing for structural variants and aberrant splicing</w:t>
      </w:r>
    </w:p>
    <w:p w14:paraId="37B4E04F">
      <w:pPr>
        <w:pStyle w:val="14"/>
        <w:numPr>
          <w:ilvl w:val="0"/>
          <w:numId w:val="2"/>
        </w:numPr>
      </w:pPr>
      <w:r>
        <w:t>Prediction of neoantigen immunogenicity and stability</w:t>
      </w:r>
    </w:p>
    <w:p w14:paraId="2F4C20C8">
      <w:pPr>
        <w:pStyle w:val="14"/>
        <w:numPr>
          <w:ilvl w:val="0"/>
          <w:numId w:val="2"/>
        </w:numPr>
      </w:pPr>
      <w:r>
        <w:t>HLA typing (NGS-based, WES/WGS inference: OptiType, HLA-HD, etc.)</w:t>
      </w:r>
    </w:p>
    <w:p w14:paraId="4F4E087B">
      <w:pPr>
        <w:pStyle w:val="14"/>
        <w:numPr>
          <w:ilvl w:val="0"/>
          <w:numId w:val="2"/>
        </w:numPr>
      </w:pPr>
      <w:r>
        <w:t>sc-VDJ-seq for immune response assessment, T cell clonal tracking, and TCR-T therapy development</w:t>
      </w:r>
    </w:p>
    <w:p w14:paraId="05DE949C">
      <w:pPr>
        <w:pStyle w:val="14"/>
        <w:numPr>
          <w:ilvl w:val="0"/>
          <w:numId w:val="2"/>
        </w:numPr>
      </w:pPr>
      <w:r>
        <w:t>Immunopeptidomics - Mass spectrometry validation of antigen presentation</w:t>
      </w:r>
    </w:p>
    <w:p w14:paraId="486CF17D">
      <w:bookmarkStart w:id="0" w:name="_GoBack"/>
      <w:bookmarkEnd w:id="0"/>
    </w:p>
    <w:p w14:paraId="485C4814">
      <w:pPr>
        <w:pStyle w:val="2"/>
      </w:pPr>
      <w:r>
        <w:t>Research Projects</w:t>
      </w:r>
    </w:p>
    <w:p w14:paraId="32E1FB19">
      <w:pPr>
        <w:pStyle w:val="3"/>
      </w:pPr>
      <w:r>
        <w:t>Spatial Transcriptomics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756"/>
        <w:gridCol w:w="2755"/>
        <w:gridCol w:w="1391"/>
        <w:gridCol w:w="2324"/>
      </w:tblGrid>
      <w:tr w14:paraId="64DB3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vAlign w:val="center"/>
          </w:tcPr>
          <w:p w14:paraId="58C9129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Project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vAlign w:val="center"/>
          </w:tcPr>
          <w:p w14:paraId="312E6C1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Key Findings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vAlign w:val="center"/>
          </w:tcPr>
          <w:p w14:paraId="0E81AC5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vAlign w:val="center"/>
          </w:tcPr>
          <w:p w14:paraId="09898AB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Related Publications</w:t>
            </w:r>
          </w:p>
        </w:tc>
      </w:tr>
      <w:tr w14:paraId="5A029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81783CD">
            <w:r>
              <w:rPr>
                <w:sz w:val="20"/>
                <w:szCs w:val="20"/>
              </w:rPr>
              <w:t>Immunotherapy response in nasopharyngeal cancer (Stereo-seq)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CC9B370">
            <w:r>
              <w:rPr>
                <w:sz w:val="20"/>
                <w:szCs w:val="20"/>
              </w:rPr>
              <w:t>EBV viral RNA levels predict prognosis for Ipi+Nivo combination therapy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88DC5FC">
            <w:pPr>
              <w:jc w:val="center"/>
            </w:pPr>
            <w:r>
              <w:rPr>
                <w:sz w:val="20"/>
                <w:szCs w:val="20"/>
              </w:rPr>
              <w:t>✅ Completed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10EFE03">
            <w:r>
              <w:rPr>
                <w:sz w:val="20"/>
                <w:szCs w:val="20"/>
              </w:rPr>
              <w:t>Pub #1</w:t>
            </w:r>
          </w:p>
        </w:tc>
      </w:tr>
      <w:tr w14:paraId="3C645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397FA7B">
            <w:r>
              <w:rPr>
                <w:sz w:val="20"/>
                <w:szCs w:val="20"/>
              </w:rPr>
              <w:t>cDC1 anti-tumor mechanisms (Stereo-seq)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83C0F97">
            <w:r>
              <w:rPr>
                <w:sz w:val="20"/>
                <w:szCs w:val="20"/>
              </w:rPr>
              <w:t>cDC1 depletion increases tumor fibrosis and reduces T cell infiltration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69DAA29">
            <w:pPr>
              <w:jc w:val="center"/>
            </w:pPr>
            <w:r>
              <w:rPr>
                <w:sz w:val="20"/>
                <w:szCs w:val="20"/>
              </w:rPr>
              <w:t>✅ Completed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2806A17">
            <w:r>
              <w:rPr>
                <w:sz w:val="20"/>
                <w:szCs w:val="20"/>
              </w:rPr>
              <w:t>Pub #4</w:t>
            </w:r>
          </w:p>
        </w:tc>
      </w:tr>
      <w:tr w14:paraId="65B40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52D9534">
            <w:r>
              <w:rPr>
                <w:sz w:val="20"/>
                <w:szCs w:val="20"/>
              </w:rPr>
              <w:t>Spatial distribution of APOBEC mutations in Asian breast cancer (Stereo-seq)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FA55EB6">
            <w:r>
              <w:rPr>
                <w:sz w:val="20"/>
                <w:szCs w:val="20"/>
              </w:rPr>
              <w:t>30kb deletion alters APOBEC3A/3B activity ratio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08FD867">
            <w:pPr>
              <w:jc w:val="center"/>
            </w:pPr>
            <w:r>
              <w:rPr>
                <w:sz w:val="20"/>
                <w:szCs w:val="20"/>
              </w:rPr>
              <w:t>✅ Completed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D8C0467">
            <w:r>
              <w:rPr>
                <w:sz w:val="20"/>
                <w:szCs w:val="20"/>
              </w:rPr>
              <w:t>Pub #6-7</w:t>
            </w:r>
          </w:p>
        </w:tc>
      </w:tr>
      <w:tr w14:paraId="4C582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DCD8913">
            <w:r>
              <w:rPr>
                <w:sz w:val="20"/>
                <w:szCs w:val="20"/>
              </w:rPr>
              <w:t>CD8+ T cell suppression factors in TNBC (10X Visium)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5812FD8">
            <w:r>
              <w:rPr>
                <w:sz w:val="20"/>
                <w:szCs w:val="20"/>
              </w:rPr>
              <w:t>IQGAP1, B7H3, etc. negatively correlate with CD8+ T cell abundance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1C0A1C0">
            <w:pPr>
              <w:jc w:val="center"/>
            </w:pPr>
            <w:r>
              <w:rPr>
                <w:sz w:val="20"/>
                <w:szCs w:val="20"/>
              </w:rPr>
              <w:t>🔄 Ongoing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06D08F5">
            <w:r>
              <w:rPr>
                <w:sz w:val="20"/>
                <w:szCs w:val="20"/>
              </w:rPr>
              <w:t>-</w:t>
            </w:r>
          </w:p>
        </w:tc>
      </w:tr>
    </w:tbl>
    <w:p w14:paraId="6426EECC"/>
    <w:p w14:paraId="435D1BC8">
      <w:pPr>
        <w:pStyle w:val="3"/>
      </w:pPr>
      <w:r>
        <w:t>Single-cell Transcriptomics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754"/>
        <w:gridCol w:w="2757"/>
        <w:gridCol w:w="1386"/>
        <w:gridCol w:w="2329"/>
      </w:tblGrid>
      <w:tr w14:paraId="68D5A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vAlign w:val="center"/>
          </w:tcPr>
          <w:p w14:paraId="1F50C79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Project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vAlign w:val="center"/>
          </w:tcPr>
          <w:p w14:paraId="29331FE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Key Findings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vAlign w:val="center"/>
          </w:tcPr>
          <w:p w14:paraId="5D6F601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vAlign w:val="center"/>
          </w:tcPr>
          <w:p w14:paraId="057DFBC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Related Publications</w:t>
            </w:r>
          </w:p>
        </w:tc>
      </w:tr>
      <w:tr w14:paraId="7351B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679A13A">
            <w:r>
              <w:rPr>
                <w:sz w:val="20"/>
                <w:szCs w:val="20"/>
              </w:rPr>
              <w:t>TP53 mutations in colorectal premalignant lesions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A72524E">
            <w:r>
              <w:rPr>
                <w:sz w:val="20"/>
                <w:szCs w:val="20"/>
              </w:rPr>
              <w:t>Investigating TP53 mutation effects on colonic tissue homeostasis and tumorigenesis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73AA037">
            <w:pPr>
              <w:jc w:val="center"/>
            </w:pPr>
            <w:r>
              <w:rPr>
                <w:sz w:val="20"/>
                <w:szCs w:val="20"/>
              </w:rPr>
              <w:t>🔄 Ongoing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1578DCA">
            <w:r>
              <w:rPr>
                <w:sz w:val="20"/>
                <w:szCs w:val="20"/>
              </w:rPr>
              <w:t>-</w:t>
            </w:r>
          </w:p>
        </w:tc>
      </w:tr>
    </w:tbl>
    <w:p w14:paraId="6008AFCD"/>
    <w:p w14:paraId="380B379F">
      <w:pPr>
        <w:pStyle w:val="3"/>
      </w:pPr>
      <w:r>
        <w:t>Genome-Wide Association Studies (GWAS)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759"/>
        <w:gridCol w:w="2755"/>
        <w:gridCol w:w="1385"/>
        <w:gridCol w:w="2327"/>
      </w:tblGrid>
      <w:tr w14:paraId="12B5C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vAlign w:val="center"/>
          </w:tcPr>
          <w:p w14:paraId="5DEB9BA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Project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vAlign w:val="center"/>
          </w:tcPr>
          <w:p w14:paraId="07602C2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Key Findings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vAlign w:val="center"/>
          </w:tcPr>
          <w:p w14:paraId="2C03019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vAlign w:val="center"/>
          </w:tcPr>
          <w:p w14:paraId="4896E7F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Related Publications</w:t>
            </w:r>
          </w:p>
        </w:tc>
      </w:tr>
      <w:tr w14:paraId="4852A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5CC5CB2">
            <w:r>
              <w:rPr>
                <w:sz w:val="20"/>
                <w:szCs w:val="20"/>
              </w:rPr>
              <w:t>SLAS cohort aging study (NCT03405675)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63F51C4">
            <w:r>
              <w:rPr>
                <w:sz w:val="20"/>
                <w:szCs w:val="20"/>
              </w:rPr>
              <w:t>TET2 variants significantly associated with hepatocellular carcinoma risk; clonal hematopoiesis analysis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5D851AD">
            <w:pPr>
              <w:jc w:val="center"/>
            </w:pPr>
            <w:r>
              <w:rPr>
                <w:sz w:val="20"/>
                <w:szCs w:val="20"/>
              </w:rPr>
              <w:t>🔄 Ongoing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F548999">
            <w:r>
              <w:rPr>
                <w:sz w:val="20"/>
                <w:szCs w:val="20"/>
              </w:rPr>
              <w:t>-</w:t>
            </w:r>
          </w:p>
        </w:tc>
      </w:tr>
    </w:tbl>
    <w:p w14:paraId="7D6A02C2"/>
    <w:p w14:paraId="2AFD4B9D">
      <w:pPr>
        <w:pStyle w:val="3"/>
      </w:pPr>
      <w:r>
        <w:t>Mutational Signature Analysis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751"/>
        <w:gridCol w:w="2755"/>
        <w:gridCol w:w="1392"/>
        <w:gridCol w:w="2328"/>
      </w:tblGrid>
      <w:tr w14:paraId="656FF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vAlign w:val="center"/>
          </w:tcPr>
          <w:p w14:paraId="268F0AB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Project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vAlign w:val="center"/>
          </w:tcPr>
          <w:p w14:paraId="52DBACB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Key Findings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vAlign w:val="center"/>
          </w:tcPr>
          <w:p w14:paraId="66AC59C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vAlign w:val="center"/>
          </w:tcPr>
          <w:p w14:paraId="1252759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Related Publications</w:t>
            </w:r>
          </w:p>
        </w:tc>
      </w:tr>
      <w:tr w14:paraId="7C504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3DD9FEE">
            <w:r>
              <w:rPr>
                <w:sz w:val="20"/>
                <w:szCs w:val="20"/>
              </w:rPr>
              <w:t>COSMIC mutational signature database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75016D6">
            <w:r>
              <w:rPr>
                <w:sz w:val="20"/>
                <w:szCs w:val="20"/>
              </w:rPr>
              <w:t>Participated in discovery and validation of standard mutational signatures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DEE3C70">
            <w:pPr>
              <w:jc w:val="center"/>
            </w:pPr>
            <w:r>
              <w:rPr>
                <w:sz w:val="20"/>
                <w:szCs w:val="20"/>
              </w:rPr>
              <w:t>✅ Completed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B0CFEA9">
            <w:r>
              <w:rPr>
                <w:sz w:val="20"/>
                <w:szCs w:val="20"/>
              </w:rPr>
              <w:t>Pub #13</w:t>
            </w:r>
          </w:p>
        </w:tc>
      </w:tr>
      <w:tr w14:paraId="7BCB9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4042168">
            <w:r>
              <w:rPr>
                <w:sz w:val="20"/>
                <w:szCs w:val="20"/>
              </w:rPr>
              <w:t>Mutational signature extraction software development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73B7D6D">
            <w:r>
              <w:rPr>
                <w:sz w:val="20"/>
                <w:szCs w:val="20"/>
              </w:rPr>
              <w:t>Developed mSigHdp; led performance benchmarking of multiple software tools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982860A">
            <w:pPr>
              <w:jc w:val="center"/>
            </w:pPr>
            <w:r>
              <w:rPr>
                <w:sz w:val="20"/>
                <w:szCs w:val="20"/>
              </w:rPr>
              <w:t>✅ Completed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B675751">
            <w:r>
              <w:rPr>
                <w:sz w:val="20"/>
                <w:szCs w:val="20"/>
              </w:rPr>
              <w:t>Pub #10-12</w:t>
            </w:r>
          </w:p>
        </w:tc>
      </w:tr>
    </w:tbl>
    <w:p w14:paraId="1BE1FC11"/>
    <w:p w14:paraId="221144A1">
      <w:pPr>
        <w:pStyle w:val="2"/>
      </w:pPr>
      <w:r>
        <w:t>Publications</w:t>
      </w:r>
    </w:p>
    <w:p w14:paraId="7DA56EBD">
      <w:pPr>
        <w:pStyle w:val="3"/>
      </w:pPr>
      <w:r>
        <w:t>Spatial Transcriptomics &amp; Tumor Microenvironment</w:t>
      </w:r>
    </w:p>
    <w:p w14:paraId="2377EF43">
      <w:pPr>
        <w:pStyle w:val="4"/>
      </w:pPr>
      <w:r>
        <w:t>First Author:</w:t>
      </w:r>
    </w:p>
    <w:p w14:paraId="69317B9D">
      <w:pPr>
        <w:spacing w:before="100" w:after="100"/>
      </w:pPr>
      <w:r>
        <w:rPr>
          <w:sz w:val="20"/>
          <w:szCs w:val="20"/>
        </w:rPr>
        <w:t xml:space="preserve">1. </w:t>
      </w:r>
      <w:r>
        <w:rPr>
          <w:b/>
          <w:bCs/>
          <w:sz w:val="20"/>
          <w:szCs w:val="20"/>
        </w:rPr>
        <w:t>Wu, Y.</w:t>
      </w:r>
      <w:r>
        <w:rPr>
          <w:sz w:val="20"/>
          <w:szCs w:val="20"/>
        </w:rPr>
        <w:t xml:space="preserve"> , Neo, Z. W., Chong, L. Y., Goh, D., Iyer, N. G., Chua, M. L. K., Lee, B., Song, X., Yeong, J. &amp; Lim, D. W.-T. Using longitudinal spatial-omics to demonstrate in-situ Epstein–Barr virus reduction in responders to immunotherapy treated nasopharyngeal cancer. </w:t>
      </w:r>
      <w:r>
        <w:rPr>
          <w:i/>
          <w:iCs/>
          <w:sz w:val="20"/>
          <w:szCs w:val="20"/>
        </w:rPr>
        <w:t>J. Clin. Oncol.</w:t>
      </w:r>
      <w:r>
        <w:rPr>
          <w:sz w:val="20"/>
          <w:szCs w:val="20"/>
        </w:rPr>
        <w:t xml:space="preserve"> 43, 16_suppl (2025). </w:t>
      </w:r>
      <w:r>
        <w:fldChar w:fldCharType="begin"/>
      </w:r>
      <w:r>
        <w:instrText xml:space="preserve"> HYPERLINK "https://doi.org/10.1200/JCO.2025.43.16_suppl.6025" </w:instrText>
      </w:r>
      <w:r>
        <w:fldChar w:fldCharType="separate"/>
      </w:r>
      <w:r>
        <w:rPr>
          <w:rStyle w:val="12"/>
          <w:color w:val="0563C1"/>
          <w:sz w:val="20"/>
          <w:szCs w:val="20"/>
          <w:u w:val="single"/>
        </w:rPr>
        <w:t>https://doi.org/10.1200/JCO.2025.43.16_suppl.6025</w:t>
      </w:r>
      <w:r>
        <w:rPr>
          <w:rStyle w:val="12"/>
          <w:color w:val="0563C1"/>
          <w:sz w:val="20"/>
          <w:szCs w:val="20"/>
          <w:u w:val="single"/>
        </w:rPr>
        <w:fldChar w:fldCharType="end"/>
      </w:r>
      <w:r>
        <w:rPr>
          <w:sz w:val="20"/>
          <w:szCs w:val="20"/>
        </w:rPr>
        <w:t xml:space="preserve"> (Conference abstract + Poster, IF: 43.4)</w:t>
      </w:r>
    </w:p>
    <w:p w14:paraId="0738EAE2">
      <w:pPr>
        <w:spacing w:before="100" w:after="100"/>
      </w:pPr>
      <w:r>
        <w:rPr>
          <w:sz w:val="20"/>
          <w:szCs w:val="20"/>
        </w:rPr>
        <w:t xml:space="preserve">2. </w:t>
      </w:r>
      <w:r>
        <w:rPr>
          <w:b/>
          <w:bCs/>
          <w:sz w:val="20"/>
          <w:szCs w:val="20"/>
        </w:rPr>
        <w:t>Wu, Y.</w:t>
      </w:r>
      <w:r>
        <w:rPr>
          <w:sz w:val="20"/>
          <w:szCs w:val="20"/>
        </w:rPr>
        <w:t xml:space="preserve"> , Wee, F., Chong, L. Y., Neo, Z. W., Lim, J., et al. Single-cell resolution spatial transcriptomics detection of pathogens followed by studying the immune milieu: using virus-associated cancers from different organs as paradigm. </w:t>
      </w:r>
      <w:r>
        <w:rPr>
          <w:i/>
          <w:iCs/>
          <w:sz w:val="20"/>
          <w:szCs w:val="20"/>
        </w:rPr>
        <w:t>J. Immunother. Cancer</w:t>
      </w:r>
      <w:r>
        <w:rPr>
          <w:sz w:val="20"/>
          <w:szCs w:val="20"/>
        </w:rPr>
        <w:t xml:space="preserve"> 11 (2023). </w:t>
      </w:r>
      <w:r>
        <w:fldChar w:fldCharType="begin"/>
      </w:r>
      <w:r>
        <w:instrText xml:space="preserve"> HYPERLINK "https://doi.org/10.1136/jitc-2023-SITC2023.1512" </w:instrText>
      </w:r>
      <w:r>
        <w:fldChar w:fldCharType="separate"/>
      </w:r>
      <w:r>
        <w:rPr>
          <w:rStyle w:val="12"/>
          <w:color w:val="0563C1"/>
          <w:sz w:val="20"/>
          <w:szCs w:val="20"/>
          <w:u w:val="single"/>
        </w:rPr>
        <w:t>https://doi.org/10.1136/jitc-2023-SITC2023.1512</w:t>
      </w:r>
      <w:r>
        <w:rPr>
          <w:rStyle w:val="12"/>
          <w:color w:val="0563C1"/>
          <w:sz w:val="20"/>
          <w:szCs w:val="20"/>
          <w:u w:val="single"/>
        </w:rPr>
        <w:fldChar w:fldCharType="end"/>
      </w:r>
      <w:r>
        <w:rPr>
          <w:sz w:val="20"/>
          <w:szCs w:val="20"/>
        </w:rPr>
        <w:t xml:space="preserve"> (Conference abstract + Poster, IF: 10.6)</w:t>
      </w:r>
    </w:p>
    <w:p w14:paraId="249F6B0C">
      <w:pPr>
        <w:pStyle w:val="4"/>
      </w:pPr>
      <w:r>
        <w:t>Co-first Author:</w:t>
      </w:r>
    </w:p>
    <w:p w14:paraId="2CDD4B5E">
      <w:pPr>
        <w:spacing w:before="100" w:after="100"/>
      </w:pPr>
      <w:r>
        <w:rPr>
          <w:sz w:val="20"/>
          <w:szCs w:val="20"/>
        </w:rPr>
        <w:t xml:space="preserve">3. </w:t>
      </w:r>
      <w:r>
        <w:rPr>
          <w:b/>
          <w:bCs/>
          <w:sz w:val="20"/>
          <w:szCs w:val="20"/>
        </w:rPr>
        <w:t xml:space="preserve">Wang, Y.*, Wu, Y.*, Zhang, F.*, Periasamy, P.*, You, H., Goh, D., Fincham, R. E. A., Ning, X., Wu, D., Liu, L., Jiang, Y., Qian, Z., Yeong, J. &amp; Zhang, Y. Integrating spatial proteogenomics in cancer research. </w:t>
      </w:r>
      <w:r>
        <w:rPr>
          <w:sz w:val="20"/>
          <w:szCs w:val="20"/>
        </w:rPr>
        <w:t>Adv. Sci.</w:t>
      </w:r>
      <w:r>
        <w:rPr>
          <w:i/>
          <w:iCs/>
          <w:sz w:val="20"/>
          <w:szCs w:val="20"/>
        </w:rPr>
        <w:t xml:space="preserve"> (in review, 2025). (Review, IF: 17.5)</w:t>
      </w:r>
    </w:p>
    <w:p w14:paraId="373DF572">
      <w:pPr>
        <w:pStyle w:val="4"/>
      </w:pPr>
      <w:r>
        <w:t>Co-author:</w:t>
      </w:r>
    </w:p>
    <w:p w14:paraId="4096B07F">
      <w:pPr>
        <w:spacing w:before="100" w:after="100"/>
      </w:pPr>
      <w:r>
        <w:rPr>
          <w:sz w:val="20"/>
          <w:szCs w:val="20"/>
        </w:rPr>
        <w:t xml:space="preserve">4. </w:t>
      </w:r>
      <w:r>
        <w:rPr>
          <w:b/>
          <w:bCs/>
          <w:sz w:val="20"/>
          <w:szCs w:val="20"/>
        </w:rPr>
        <w:t xml:space="preserve">Vilbois, S., Alfei, F., Tao, H., Chuang, Y.-M., Kieffer, Y., Wu, Y., Zhang, S., Chang, T.-H., Hsueh, P.-C., Wang, Y.-H., Low, J. T., Møller, S. H., Ruiz Buendía, G. A., Drobná, D., Schuster, M., Held, W., Yeong, J. P. S., Mechta-Grigoriou, F., Bénéchet, A. P., Zhou, J., &amp; Ho, P.-C. cDC1s restrain tumor fibrosis to sustain T cell motility and T cell anti-tumor responses. </w:t>
      </w:r>
      <w:r>
        <w:rPr>
          <w:sz w:val="20"/>
          <w:szCs w:val="20"/>
        </w:rPr>
        <w:t>Nat. Immunol.</w:t>
      </w:r>
      <w:r>
        <w:rPr>
          <w:i/>
          <w:iCs/>
          <w:sz w:val="20"/>
          <w:szCs w:val="20"/>
        </w:rPr>
        <w:t xml:space="preserve"> (in review, 2025). (IF: 27.6)</w:t>
      </w:r>
    </w:p>
    <w:p w14:paraId="491E5E18">
      <w:pPr>
        <w:spacing w:before="100" w:after="100"/>
      </w:pPr>
      <w:r>
        <w:rPr>
          <w:sz w:val="20"/>
          <w:szCs w:val="20"/>
        </w:rPr>
        <w:t xml:space="preserve">5. </w:t>
      </w:r>
      <w:r>
        <w:rPr>
          <w:b/>
          <w:bCs/>
          <w:sz w:val="20"/>
          <w:szCs w:val="20"/>
        </w:rPr>
        <w:t xml:space="preserve">Liu, Y., Chong, C. Y. L., Wang, Y., Xu, L., Tan, Q. X., Hendrikson, J., Tan, J. W.-S., Ng, G., Guo, W., Wang, Y., Huang, L., Ge, W., Rethineswaran, V. K., Ong, J. Z. L., Quek, Y. E., Ang, A. J. Y., Teo, F., Chen, O. W., Ko, T. K., Kannan, B., Lim, B. Y., Lee, E. C. Y., Guo, Z., Lakshmanan, V., Shannon, N. B., Jegannathan, N., Ryan, C., Neo, Z. W., Chong, L. Y., Ng, A. R. H., Lee, J.-Y. J., Loo, L.-H., Wu, Y., Zhang, S., Nie, L., Zhang, Q., Zeng, L., Lim, T. K. H., Ng, M. C. H., Lee, C. J. Z., Chang, P. E. J., Teh, K. K.-J., Tan, H. K., Nadarajah, R., Yong, T. T., Wang, J., Aggarwal, I. M., Fong, E. L. S., Wu, K. Z., So, J. B. Y., Yeoh, K. G., Wong, J. S. M., Seo, C. J., Cai, M., Chia, C. S., Teh, B. T., Tan, I. B., Yeong, J., Chan, J. Y., Guo, T. &amp; Ong, C.-A. J. Identification of novel paracrine therapeutic targets in peritoneal metastases through integrative proteotranscriptomic analysis of ascites. </w:t>
      </w:r>
      <w:r>
        <w:rPr>
          <w:sz w:val="20"/>
          <w:szCs w:val="20"/>
        </w:rPr>
        <w:t>Cell</w:t>
      </w:r>
      <w:r>
        <w:rPr>
          <w:i/>
          <w:iCs/>
          <w:sz w:val="20"/>
          <w:szCs w:val="20"/>
        </w:rPr>
        <w:t xml:space="preserve"> (in review, 2025).</w:t>
      </w:r>
    </w:p>
    <w:p w14:paraId="4A9DA418">
      <w:pPr>
        <w:spacing w:before="100" w:after="100"/>
      </w:pPr>
      <w:r>
        <w:rPr>
          <w:sz w:val="20"/>
          <w:szCs w:val="20"/>
        </w:rPr>
        <w:t xml:space="preserve">6. </w:t>
      </w:r>
      <w:r>
        <w:rPr>
          <w:b/>
          <w:bCs/>
          <w:sz w:val="20"/>
          <w:szCs w:val="20"/>
        </w:rPr>
        <w:t xml:space="preserve">Tan, Z. C., Wu, Y., Neo, Z. W., Lau, M. C., Teo, S.-H., Yeong, J. P. S., Chang, S. W. &amp; Pan, J. W. Spatial patterns of APOBEC mutagenesis in the tumour microenvironment of Asian breast cancer. </w:t>
      </w:r>
      <w:r>
        <w:rPr>
          <w:sz w:val="20"/>
          <w:szCs w:val="20"/>
        </w:rPr>
        <w:t>Nat. Commun.</w:t>
      </w:r>
      <w:r>
        <w:rPr>
          <w:i/>
          <w:iCs/>
          <w:sz w:val="20"/>
          <w:szCs w:val="20"/>
        </w:rPr>
        <w:t xml:space="preserve"> (in review, 2026). bioRxiv: </w:t>
      </w:r>
      <w:r>
        <w:rPr>
          <w:sz w:val="20"/>
          <w:szCs w:val="20"/>
        </w:rPr>
        <w:t>https://www.biorxiv.org/content/10.64898/2026.01.01.697328v1</w:t>
      </w:r>
      <w:r>
        <w:fldChar w:fldCharType="begin"/>
      </w:r>
      <w:r>
        <w:instrText xml:space="preserve"> HYPERLINK " (IF: 14.7)" </w:instrText>
      </w:r>
      <w:r>
        <w:fldChar w:fldCharType="separate"/>
      </w:r>
      <w:r>
        <w:rPr>
          <w:rStyle w:val="12"/>
          <w:color w:val="0563C1"/>
          <w:sz w:val="20"/>
          <w:szCs w:val="20"/>
          <w:u w:val="single"/>
        </w:rPr>
        <w:t xml:space="preserve"> (IF: 14.7)</w:t>
      </w:r>
      <w:r>
        <w:rPr>
          <w:rStyle w:val="12"/>
          <w:color w:val="0563C1"/>
          <w:sz w:val="20"/>
          <w:szCs w:val="20"/>
          <w:u w:val="single"/>
        </w:rPr>
        <w:fldChar w:fldCharType="end"/>
      </w:r>
    </w:p>
    <w:p w14:paraId="4DF3806B">
      <w:pPr>
        <w:spacing w:before="100" w:after="100"/>
      </w:pPr>
      <w:r>
        <w:rPr>
          <w:sz w:val="20"/>
          <w:szCs w:val="20"/>
        </w:rPr>
        <w:t xml:space="preserve">7. </w:t>
      </w:r>
      <w:r>
        <w:rPr>
          <w:b/>
          <w:bCs/>
          <w:sz w:val="20"/>
          <w:szCs w:val="20"/>
        </w:rPr>
        <w:t xml:space="preserve">Tan, Z. C., Wu, Y., Neo, Z. W., Lau, M. C., Chang, S. W., Yeong, J. P. S., Teo, S.-H. &amp; Pan, J. W. Spatial patterns of APOBEC mutagenesis in the tumor microenvironment of Asian breast cancer. </w:t>
      </w:r>
      <w:r>
        <w:rPr>
          <w:sz w:val="20"/>
          <w:szCs w:val="20"/>
        </w:rPr>
        <w:t>Cancer Res.</w:t>
      </w:r>
      <w:r>
        <w:rPr>
          <w:i/>
          <w:iCs/>
          <w:sz w:val="20"/>
          <w:szCs w:val="20"/>
        </w:rPr>
        <w:t xml:space="preserve"> 85 (8_Suppl_1), 151 (2025). </w:t>
      </w:r>
      <w:r>
        <w:rPr>
          <w:sz w:val="20"/>
          <w:szCs w:val="20"/>
        </w:rPr>
        <w:t>https://doi.org/10.1158/1538-7445.AM2025-151</w:t>
      </w:r>
      <w:r>
        <w:fldChar w:fldCharType="begin"/>
      </w:r>
      <w:r>
        <w:instrText xml:space="preserve"> HYPERLINK " (Conference abstract + Poster, IF: 16.6)" </w:instrText>
      </w:r>
      <w:r>
        <w:fldChar w:fldCharType="separate"/>
      </w:r>
      <w:r>
        <w:rPr>
          <w:rStyle w:val="12"/>
          <w:color w:val="0563C1"/>
          <w:sz w:val="20"/>
          <w:szCs w:val="20"/>
          <w:u w:val="single"/>
        </w:rPr>
        <w:t xml:space="preserve"> (Conference abstract + Poster, IF: 16.6)</w:t>
      </w:r>
      <w:r>
        <w:rPr>
          <w:rStyle w:val="12"/>
          <w:color w:val="0563C1"/>
          <w:sz w:val="20"/>
          <w:szCs w:val="20"/>
          <w:u w:val="single"/>
        </w:rPr>
        <w:fldChar w:fldCharType="end"/>
      </w:r>
    </w:p>
    <w:p w14:paraId="7FE72D0C">
      <w:pPr>
        <w:spacing w:before="100" w:after="100"/>
      </w:pPr>
      <w:r>
        <w:rPr>
          <w:sz w:val="20"/>
          <w:szCs w:val="20"/>
        </w:rPr>
        <w:t xml:space="preserve">8. </w:t>
      </w:r>
      <w:r>
        <w:rPr>
          <w:b/>
          <w:bCs/>
          <w:sz w:val="20"/>
          <w:szCs w:val="20"/>
        </w:rPr>
        <w:t xml:space="preserve">Zhang, Y., Lee, R. Y., Tan, C. W., Guo, X., Yim, W. W., Lim, J. C., Wee, F. Y., Wu, Y., Kharbanda, M., Lee, J. J., Ngo, N. T., Leow, W. Q., Loo, L. H., Lim, T. K., Sobota, R. M., Lau, M. C., Davis, M. J., &amp; Yeong, J. Spatial omics techniques and data analysis for cancer immunotherapy applications. </w:t>
      </w:r>
      <w:r>
        <w:rPr>
          <w:sz w:val="20"/>
          <w:szCs w:val="20"/>
        </w:rPr>
        <w:t>Curr. Opin. Biotechnol.</w:t>
      </w:r>
      <w:r>
        <w:rPr>
          <w:i/>
          <w:iCs/>
          <w:sz w:val="20"/>
          <w:szCs w:val="20"/>
        </w:rPr>
        <w:t xml:space="preserve"> 87, 103111 (2024). </w:t>
      </w:r>
      <w:r>
        <w:rPr>
          <w:sz w:val="20"/>
          <w:szCs w:val="20"/>
        </w:rPr>
        <w:t>https://doi.org/10.1016/j.copbio.2024.103111</w:t>
      </w:r>
      <w:r>
        <w:fldChar w:fldCharType="begin"/>
      </w:r>
      <w:r>
        <w:instrText xml:space="preserve"> HYPERLINK " (Review, IF: 7.0)" </w:instrText>
      </w:r>
      <w:r>
        <w:fldChar w:fldCharType="separate"/>
      </w:r>
      <w:r>
        <w:rPr>
          <w:rStyle w:val="12"/>
          <w:color w:val="0563C1"/>
          <w:sz w:val="20"/>
          <w:szCs w:val="20"/>
          <w:u w:val="single"/>
        </w:rPr>
        <w:t xml:space="preserve"> (Review, IF: 7.0)</w:t>
      </w:r>
      <w:r>
        <w:rPr>
          <w:rStyle w:val="12"/>
          <w:color w:val="0563C1"/>
          <w:sz w:val="20"/>
          <w:szCs w:val="20"/>
          <w:u w:val="single"/>
        </w:rPr>
        <w:fldChar w:fldCharType="end"/>
      </w:r>
    </w:p>
    <w:p w14:paraId="04ABFA34">
      <w:pPr>
        <w:spacing w:before="100" w:after="100"/>
      </w:pPr>
      <w:r>
        <w:rPr>
          <w:sz w:val="20"/>
          <w:szCs w:val="20"/>
        </w:rPr>
        <w:t xml:space="preserve">9. </w:t>
      </w:r>
      <w:r>
        <w:rPr>
          <w:b/>
          <w:bCs/>
          <w:sz w:val="20"/>
          <w:szCs w:val="20"/>
        </w:rPr>
        <w:t xml:space="preserve">Lee, R. Y., Wu, Y., Goh, D., Tan, V., Ng, C. W., Lim, J. C. T., Lau, M. C., Yeong J. P. S. Application of Artificial Intelligence to In Vitro Tumor Modeling and Characterization of the Tumor Microenvironment. </w:t>
      </w:r>
      <w:r>
        <w:rPr>
          <w:sz w:val="20"/>
          <w:szCs w:val="20"/>
        </w:rPr>
        <w:t>Adv. Healthc. Mater.</w:t>
      </w:r>
      <w:r>
        <w:rPr>
          <w:i/>
          <w:iCs/>
          <w:sz w:val="20"/>
          <w:szCs w:val="20"/>
        </w:rPr>
        <w:t xml:space="preserve"> 12, 2202457 (2023). </w:t>
      </w:r>
      <w:r>
        <w:rPr>
          <w:sz w:val="20"/>
          <w:szCs w:val="20"/>
        </w:rPr>
        <w:t>https://doi.org/10.1002/adhm.202202457</w:t>
      </w:r>
      <w:r>
        <w:fldChar w:fldCharType="begin"/>
      </w:r>
      <w:r>
        <w:instrText xml:space="preserve"> HYPERLINK " (Review, IF: 9.6)" </w:instrText>
      </w:r>
      <w:r>
        <w:fldChar w:fldCharType="separate"/>
      </w:r>
      <w:r>
        <w:rPr>
          <w:rStyle w:val="12"/>
          <w:color w:val="0563C1"/>
          <w:sz w:val="20"/>
          <w:szCs w:val="20"/>
          <w:u w:val="single"/>
        </w:rPr>
        <w:t xml:space="preserve"> (Review, IF: 9.6)</w:t>
      </w:r>
      <w:r>
        <w:rPr>
          <w:rStyle w:val="12"/>
          <w:color w:val="0563C1"/>
          <w:sz w:val="20"/>
          <w:szCs w:val="20"/>
          <w:u w:val="single"/>
        </w:rPr>
        <w:fldChar w:fldCharType="end"/>
      </w:r>
    </w:p>
    <w:p w14:paraId="6F955DBE"/>
    <w:p w14:paraId="3588EDB8">
      <w:pPr>
        <w:pStyle w:val="3"/>
      </w:pPr>
      <w:r>
        <w:t>Mutational Signature Analysis</w:t>
      </w:r>
    </w:p>
    <w:p w14:paraId="4AFDD229">
      <w:pPr>
        <w:pStyle w:val="4"/>
      </w:pPr>
      <w:r>
        <w:t>First Author:</w:t>
      </w:r>
    </w:p>
    <w:p w14:paraId="673B29BC">
      <w:pPr>
        <w:spacing w:before="100" w:after="100"/>
      </w:pPr>
      <w:r>
        <w:rPr>
          <w:sz w:val="20"/>
          <w:szCs w:val="20"/>
        </w:rPr>
        <w:t xml:space="preserve">10. </w:t>
      </w:r>
      <w:r>
        <w:rPr>
          <w:b/>
          <w:bCs/>
          <w:sz w:val="20"/>
          <w:szCs w:val="20"/>
        </w:rPr>
        <w:t>Wu, Y.</w:t>
      </w:r>
      <w:r>
        <w:rPr>
          <w:sz w:val="20"/>
          <w:szCs w:val="20"/>
        </w:rPr>
        <w:t xml:space="preserve"> , Chua, E. H. Z., Ng, A. W. T., Boot, A. &amp; Rozen, S. G. Accuracy of mutational signature software on correlated signatures. </w:t>
      </w:r>
      <w:r>
        <w:rPr>
          <w:i/>
          <w:iCs/>
          <w:sz w:val="20"/>
          <w:szCs w:val="20"/>
        </w:rPr>
        <w:t>Sci. Rep.</w:t>
      </w:r>
      <w:r>
        <w:rPr>
          <w:sz w:val="20"/>
          <w:szCs w:val="20"/>
        </w:rPr>
        <w:t xml:space="preserve"> 12, 390 (2022). </w:t>
      </w:r>
      <w:r>
        <w:fldChar w:fldCharType="begin"/>
      </w:r>
      <w:r>
        <w:instrText xml:space="preserve"> HYPERLINK "https://doi.org/10.1038/s41598-021-04207-6" </w:instrText>
      </w:r>
      <w:r>
        <w:fldChar w:fldCharType="separate"/>
      </w:r>
      <w:r>
        <w:rPr>
          <w:rStyle w:val="12"/>
          <w:color w:val="0563C1"/>
          <w:sz w:val="20"/>
          <w:szCs w:val="20"/>
          <w:u w:val="single"/>
        </w:rPr>
        <w:t>https://doi.org/10.1038/s41598-021-04207-6</w:t>
      </w:r>
      <w:r>
        <w:rPr>
          <w:rStyle w:val="12"/>
          <w:color w:val="0563C1"/>
          <w:sz w:val="20"/>
          <w:szCs w:val="20"/>
          <w:u w:val="single"/>
        </w:rPr>
        <w:fldChar w:fldCharType="end"/>
      </w:r>
      <w:r>
        <w:rPr>
          <w:sz w:val="20"/>
          <w:szCs w:val="20"/>
        </w:rPr>
        <w:t xml:space="preserve"> (IF: 4.3)</w:t>
      </w:r>
    </w:p>
    <w:p w14:paraId="6BA29E7A">
      <w:pPr>
        <w:pStyle w:val="4"/>
      </w:pPr>
      <w:r>
        <w:t>Co-first Author:</w:t>
      </w:r>
    </w:p>
    <w:p w14:paraId="05C3FDE5">
      <w:pPr>
        <w:spacing w:before="100" w:after="100"/>
      </w:pPr>
      <w:r>
        <w:rPr>
          <w:sz w:val="20"/>
          <w:szCs w:val="20"/>
        </w:rPr>
        <w:t xml:space="preserve">11. </w:t>
      </w:r>
      <w:r>
        <w:rPr>
          <w:b/>
          <w:bCs/>
          <w:sz w:val="20"/>
          <w:szCs w:val="20"/>
        </w:rPr>
        <w:t xml:space="preserve">Liu, M.*, Wu, Y.* , Jiang, N., Boot, A. &amp; Rozen, S. G. mSigHdp: hierarchical Dirichlet process mixture modeling for mutational signature discovery. </w:t>
      </w:r>
      <w:r>
        <w:rPr>
          <w:sz w:val="20"/>
          <w:szCs w:val="20"/>
        </w:rPr>
        <w:t>NAR Genom. Bioinform.</w:t>
      </w:r>
      <w:r>
        <w:rPr>
          <w:i/>
          <w:iCs/>
          <w:sz w:val="20"/>
          <w:szCs w:val="20"/>
        </w:rPr>
        <w:t xml:space="preserve"> 5, lqad005 (2023). </w:t>
      </w:r>
      <w:r>
        <w:rPr>
          <w:sz w:val="20"/>
          <w:szCs w:val="20"/>
        </w:rPr>
        <w:t>https://doi.org/10.1093/nargab/lqad005</w:t>
      </w:r>
      <w:r>
        <w:fldChar w:fldCharType="begin"/>
      </w:r>
      <w:r>
        <w:instrText xml:space="preserve"> HYPERLINK " (IF: 5.0)" </w:instrText>
      </w:r>
      <w:r>
        <w:fldChar w:fldCharType="separate"/>
      </w:r>
      <w:r>
        <w:rPr>
          <w:rStyle w:val="12"/>
          <w:color w:val="0563C1"/>
          <w:sz w:val="20"/>
          <w:szCs w:val="20"/>
          <w:u w:val="single"/>
        </w:rPr>
        <w:t xml:space="preserve"> (IF: 5.0)</w:t>
      </w:r>
      <w:r>
        <w:rPr>
          <w:rStyle w:val="12"/>
          <w:color w:val="0563C1"/>
          <w:sz w:val="20"/>
          <w:szCs w:val="20"/>
          <w:u w:val="single"/>
        </w:rPr>
        <w:fldChar w:fldCharType="end"/>
      </w:r>
    </w:p>
    <w:p w14:paraId="281C31AE">
      <w:pPr>
        <w:pStyle w:val="4"/>
      </w:pPr>
      <w:r>
        <w:t>Co-author:</w:t>
      </w:r>
    </w:p>
    <w:p w14:paraId="437F309F">
      <w:pPr>
        <w:spacing w:before="100" w:after="100"/>
      </w:pPr>
      <w:r>
        <w:rPr>
          <w:sz w:val="20"/>
          <w:szCs w:val="20"/>
        </w:rPr>
        <w:t xml:space="preserve">12. </w:t>
      </w:r>
      <w:r>
        <w:rPr>
          <w:b/>
          <w:bCs/>
          <w:sz w:val="20"/>
          <w:szCs w:val="20"/>
        </w:rPr>
        <w:t xml:space="preserve">Islam, S. M. A., Díaz-Gay, M., Wu, Y., Barnes, M., Vangara, R., Bergstrom, E. N., He, Y., Vella, M., Wang, J., Teague, J. W., Clapham, P., Moody, S., Senkin, S., Li, Y. R., Riva, L., Zhang, T., Gruber, A. J., Steele, C. D., Otlu, B., Khandekar, A., … Alexandrov, L. B. Uncovering novel mutational signatures by de novo extraction with SigProfilerExtractor. </w:t>
      </w:r>
      <w:r>
        <w:rPr>
          <w:sz w:val="20"/>
          <w:szCs w:val="20"/>
        </w:rPr>
        <w:t>Cell Genom.</w:t>
      </w:r>
      <w:r>
        <w:rPr>
          <w:i/>
          <w:iCs/>
          <w:sz w:val="20"/>
          <w:szCs w:val="20"/>
        </w:rPr>
        <w:t xml:space="preserve"> 2, 100179 (2022). </w:t>
      </w:r>
      <w:r>
        <w:rPr>
          <w:sz w:val="20"/>
          <w:szCs w:val="20"/>
        </w:rPr>
        <w:t>https://doi.org/10.1016/j.xgen.2022.100179</w:t>
      </w:r>
      <w:r>
        <w:fldChar w:fldCharType="begin"/>
      </w:r>
      <w:r>
        <w:instrText xml:space="preserve"> HYPERLINK " (IF: 11.1)" </w:instrText>
      </w:r>
      <w:r>
        <w:fldChar w:fldCharType="separate"/>
      </w:r>
      <w:r>
        <w:rPr>
          <w:rStyle w:val="12"/>
          <w:color w:val="0563C1"/>
          <w:sz w:val="20"/>
          <w:szCs w:val="20"/>
          <w:u w:val="single"/>
        </w:rPr>
        <w:t xml:space="preserve"> (IF: 11.1)</w:t>
      </w:r>
      <w:r>
        <w:rPr>
          <w:rStyle w:val="12"/>
          <w:color w:val="0563C1"/>
          <w:sz w:val="20"/>
          <w:szCs w:val="20"/>
          <w:u w:val="single"/>
        </w:rPr>
        <w:fldChar w:fldCharType="end"/>
      </w:r>
    </w:p>
    <w:p w14:paraId="518B5EB5">
      <w:pPr>
        <w:spacing w:before="100" w:after="100"/>
      </w:pPr>
      <w:r>
        <w:rPr>
          <w:sz w:val="20"/>
          <w:szCs w:val="20"/>
        </w:rPr>
        <w:t xml:space="preserve">13. </w:t>
      </w:r>
      <w:r>
        <w:rPr>
          <w:b/>
          <w:bCs/>
          <w:sz w:val="20"/>
          <w:szCs w:val="20"/>
        </w:rPr>
        <w:t xml:space="preserve">Alexandrov, L. B., Kim, J., Haradhvala, N. J., Huang, M. N., Ng, A. W. T., Wu, Y., Boot, A., Covington, K. R., Gordenin, D. A., Bergstrom, E. N., Islam, S. M. A., Lopez-Bigas, N., Klimczak, L. J., McPherson, J. R., Morganella, S., Sabarinathan, R., Wheeler, D. A., Mustonen, V., Getz, G., Rozen, S. G., Stratton, M. R. &amp; P. Consortium. The repertoire of mutational signatures in human cancer. </w:t>
      </w:r>
      <w:r>
        <w:rPr>
          <w:sz w:val="20"/>
          <w:szCs w:val="20"/>
        </w:rPr>
        <w:t>Nature</w:t>
      </w:r>
      <w:r>
        <w:rPr>
          <w:i/>
          <w:iCs/>
          <w:sz w:val="20"/>
          <w:szCs w:val="20"/>
        </w:rPr>
        <w:t xml:space="preserve"> 578, 94-101 (2020). </w:t>
      </w:r>
      <w:r>
        <w:rPr>
          <w:sz w:val="20"/>
          <w:szCs w:val="20"/>
        </w:rPr>
        <w:t>https://doi.org/10.1038/s41586-020-1943-3</w:t>
      </w:r>
      <w:r>
        <w:fldChar w:fldCharType="begin"/>
      </w:r>
      <w:r>
        <w:instrText xml:space="preserve"> HYPERLINK " (IF: 55.0)" </w:instrText>
      </w:r>
      <w:r>
        <w:fldChar w:fldCharType="separate"/>
      </w:r>
      <w:r>
        <w:rPr>
          <w:rStyle w:val="12"/>
          <w:color w:val="0563C1"/>
          <w:sz w:val="20"/>
          <w:szCs w:val="20"/>
          <w:u w:val="single"/>
        </w:rPr>
        <w:t xml:space="preserve"> (IF: 55.0)</w:t>
      </w:r>
      <w:r>
        <w:rPr>
          <w:rStyle w:val="12"/>
          <w:color w:val="0563C1"/>
          <w:sz w:val="20"/>
          <w:szCs w:val="20"/>
          <w:u w:val="single"/>
        </w:rPr>
        <w:fldChar w:fldCharType="end"/>
      </w:r>
    </w:p>
    <w:p w14:paraId="796306BF"/>
    <w:p w14:paraId="6C97924E">
      <w:pPr>
        <w:pStyle w:val="3"/>
      </w:pPr>
      <w:r>
        <w:t>Proteomics</w:t>
      </w:r>
    </w:p>
    <w:p w14:paraId="779D348C">
      <w:pPr>
        <w:spacing w:before="100" w:after="100"/>
      </w:pPr>
      <w:r>
        <w:rPr>
          <w:sz w:val="20"/>
          <w:szCs w:val="20"/>
        </w:rPr>
        <w:t xml:space="preserve">14. </w:t>
      </w:r>
      <w:r>
        <w:rPr>
          <w:b/>
          <w:bCs/>
          <w:sz w:val="20"/>
          <w:szCs w:val="20"/>
        </w:rPr>
        <w:t xml:space="preserve">Periasamy, P., Soon, K., Lim, X., Wu, Y., Meng, J., Lim, F., Yeong, J. DETECT – Cost-effective, high-throughput enrichment of low molecular weight proteins in serum proteomics – insights from a CAR-T therapy trial. </w:t>
      </w:r>
      <w:r>
        <w:rPr>
          <w:sz w:val="20"/>
          <w:szCs w:val="20"/>
        </w:rPr>
        <w:t>J. Immunother. Cancer</w:t>
      </w:r>
      <w:r>
        <w:rPr>
          <w:i/>
          <w:iCs/>
          <w:sz w:val="20"/>
          <w:szCs w:val="20"/>
        </w:rPr>
        <w:t xml:space="preserve"> 11 (2023). </w:t>
      </w:r>
      <w:r>
        <w:rPr>
          <w:sz w:val="20"/>
          <w:szCs w:val="20"/>
        </w:rPr>
        <w:t>https://doi.org/10.1136/jitc-2023-SITC2023.0200</w:t>
      </w:r>
      <w:r>
        <w:fldChar w:fldCharType="begin"/>
      </w:r>
      <w:r>
        <w:instrText xml:space="preserve"> HYPERLINK " (Conference abstract + Poster, IF: 10.6)" </w:instrText>
      </w:r>
      <w:r>
        <w:fldChar w:fldCharType="separate"/>
      </w:r>
      <w:r>
        <w:rPr>
          <w:rStyle w:val="12"/>
          <w:color w:val="0563C1"/>
          <w:sz w:val="20"/>
          <w:szCs w:val="20"/>
          <w:u w:val="single"/>
        </w:rPr>
        <w:t xml:space="preserve"> (Conference abstract + Poster, IF: 10.6)</w:t>
      </w:r>
      <w:r>
        <w:rPr>
          <w:rStyle w:val="12"/>
          <w:color w:val="0563C1"/>
          <w:sz w:val="20"/>
          <w:szCs w:val="20"/>
          <w:u w:val="single"/>
        </w:rPr>
        <w:fldChar w:fldCharType="end"/>
      </w:r>
    </w:p>
    <w:p w14:paraId="28A042AD"/>
    <w:p w14:paraId="643CFF3C">
      <w:pPr>
        <w:pStyle w:val="3"/>
      </w:pPr>
      <w:r>
        <w:t>Bioinformatics Tool Development</w:t>
      </w:r>
    </w:p>
    <w:p w14:paraId="3E16CAA3">
      <w:pPr>
        <w:spacing w:before="100" w:after="100"/>
      </w:pPr>
      <w:r>
        <w:rPr>
          <w:sz w:val="20"/>
          <w:szCs w:val="20"/>
        </w:rPr>
        <w:t xml:space="preserve">15. </w:t>
      </w:r>
      <w:r>
        <w:rPr>
          <w:b/>
          <w:bCs/>
          <w:sz w:val="20"/>
          <w:szCs w:val="20"/>
        </w:rPr>
        <w:t xml:space="preserve">Li, Z., Zhang, F., Wang, Y., Qiu, Y., Wu, Y., Lu, Y., Yang, L., Qu, W. J., Wang, H., Zhou, W. &amp; Tian, W. PhenoPro: a novel toolkit for assisting in the diagnosis of Mendelian disease. </w:t>
      </w:r>
      <w:r>
        <w:rPr>
          <w:sz w:val="20"/>
          <w:szCs w:val="20"/>
        </w:rPr>
        <w:t>Bioinformatics</w:t>
      </w:r>
      <w:r>
        <w:rPr>
          <w:i/>
          <w:iCs/>
          <w:sz w:val="20"/>
          <w:szCs w:val="20"/>
        </w:rPr>
        <w:t xml:space="preserve"> 35, 3559-3566 (2019). </w:t>
      </w:r>
      <w:r>
        <w:rPr>
          <w:sz w:val="20"/>
          <w:szCs w:val="20"/>
        </w:rPr>
        <w:t>https://doi.org/10.1093/bioinformatics/btz100</w:t>
      </w:r>
      <w:r>
        <w:fldChar w:fldCharType="begin"/>
      </w:r>
      <w:r>
        <w:instrText xml:space="preserve"> HYPERLINK " (IF: 7.1)" </w:instrText>
      </w:r>
      <w:r>
        <w:fldChar w:fldCharType="separate"/>
      </w:r>
      <w:r>
        <w:rPr>
          <w:rStyle w:val="12"/>
          <w:color w:val="0563C1"/>
          <w:sz w:val="20"/>
          <w:szCs w:val="20"/>
          <w:u w:val="single"/>
        </w:rPr>
        <w:t xml:space="preserve"> (IF: 7.1)</w:t>
      </w:r>
      <w:r>
        <w:rPr>
          <w:rStyle w:val="12"/>
          <w:color w:val="0563C1"/>
          <w:sz w:val="20"/>
          <w:szCs w:val="20"/>
          <w:u w:val="single"/>
        </w:rPr>
        <w:fldChar w:fldCharType="end"/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86"/>
    <w:family w:val="auto"/>
    <w:pitch w:val="default"/>
    <w:sig w:usb0="00007A87" w:usb1="80000000" w:usb2="00000008" w:usb3="00000000" w:csb0="400001FF" w:csb1="FFFF0000"/>
  </w:font>
  <w:font w:name="FreeMono">
    <w:panose1 w:val="000F0409020205020404"/>
    <w:charset w:val="00"/>
    <w:family w:val="auto"/>
    <w:pitch w:val="default"/>
    <w:sig w:usb0="E400AEFF" w:usb1="C240FFFF" w:usb2="08249029" w:usb3="00100008" w:csb0="600001FF" w:csb1="FFFF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BE8001"/>
    <w:multiLevelType w:val="singleLevel"/>
    <w:tmpl w:val="FDBE8001"/>
    <w:lvl w:ilvl="0" w:tentative="0">
      <w:start w:val="1"/>
      <w:numFmt w:val="bullet"/>
      <w:lvlText w:val="▪"/>
      <w:lvlJc w:val="left"/>
      <w:pPr>
        <w:ind w:left="1440" w:hanging="360"/>
      </w:pPr>
    </w:lvl>
  </w:abstractNum>
  <w:abstractNum w:abstractNumId="1">
    <w:nsid w:val="FE5E38BA"/>
    <w:multiLevelType w:val="singleLevel"/>
    <w:tmpl w:val="FE5E38BA"/>
    <w:lvl w:ilvl="0" w:tentative="0">
      <w:start w:val="1"/>
      <w:numFmt w:val="bullet"/>
      <w:lvlText w:val="▶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F57F02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pBdr>
        <w:bottom w:val="single" w:color="000000" w:sz="6" w:space="1"/>
      </w:pBdr>
      <w:spacing w:before="240" w:after="120"/>
      <w:outlineLvl w:val="0"/>
    </w:pPr>
    <w:rPr>
      <w:rFonts w:ascii="Arial" w:hAnsi="Arial" w:eastAsia="Arial" w:cs="Arial"/>
      <w:b/>
      <w:bCs/>
      <w:color w:val="000000"/>
      <w:sz w:val="28"/>
      <w:szCs w:val="28"/>
    </w:rPr>
  </w:style>
  <w:style w:type="paragraph" w:styleId="3">
    <w:name w:val="heading 2"/>
    <w:next w:val="1"/>
    <w:qFormat/>
    <w:uiPriority w:val="0"/>
    <w:pPr>
      <w:spacing w:before="180" w:after="100"/>
      <w:outlineLvl w:val="1"/>
    </w:pPr>
    <w:rPr>
      <w:rFonts w:ascii="Arial" w:hAnsi="Arial" w:eastAsia="Arial" w:cs="Arial"/>
      <w:b/>
      <w:bCs/>
      <w:color w:val="000000"/>
      <w:sz w:val="24"/>
      <w:szCs w:val="24"/>
    </w:rPr>
  </w:style>
  <w:style w:type="paragraph" w:styleId="4">
    <w:name w:val="heading 3"/>
    <w:next w:val="1"/>
    <w:qFormat/>
    <w:uiPriority w:val="0"/>
    <w:pPr>
      <w:spacing w:before="120" w:after="80"/>
      <w:outlineLvl w:val="2"/>
    </w:pPr>
    <w:rPr>
      <w:rFonts w:ascii="Arial" w:hAnsi="Arial" w:eastAsia="Arial" w:cs="Arial"/>
      <w:b/>
      <w:bCs/>
      <w:color w:val="000000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uiPriority w:val="0"/>
    <w:pPr>
      <w:spacing w:before="0" w:after="120"/>
      <w:jc w:val="left"/>
    </w:pPr>
    <w:rPr>
      <w:rFonts w:ascii="Arial" w:hAnsi="Arial" w:eastAsia="Arial" w:cs="Arial"/>
      <w:b/>
      <w:bCs/>
      <w:color w:val="000000"/>
      <w:sz w:val="48"/>
      <w:szCs w:val="48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Office_12.1.2.23578_F1E327BC-269C-435d-A152-05C5408002CA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WU Yang</cp:lastModifiedBy>
  <dcterms:modified xsi:type="dcterms:W3CDTF">2026-01-16T21:09:14Z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4FDFE86A3A4720D07A386A69209832A4_42</vt:lpwstr>
  </property>
</Properties>
</file>