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RK3588 + ROS1 Noetic 环境下的工程优化与调试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要确保RK3588+ROS1 Noetic环境下优化后的工程能正确编译调试，需从</w:t>
      </w:r>
      <w:r>
        <w:rPr>
          <w:rFonts w:eastAsia="等线" w:ascii="Arial" w:cs="Arial" w:hAnsi="Arial"/>
          <w:b w:val="true"/>
          <w:sz w:val="22"/>
        </w:rPr>
        <w:t>环境基础验证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工程配置适配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编译流程管控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调试手段落地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硬件适配校验</w:t>
      </w:r>
      <w:r>
        <w:rPr>
          <w:rFonts w:eastAsia="等线" w:ascii="Arial" w:cs="Arial" w:hAnsi="Arial"/>
          <w:sz w:val="22"/>
        </w:rPr>
        <w:t>五个核心维度层层把控，以下是具体实操步骤：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一、基础环境验证：确保RK3588+ROS1 Noetic环境合规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RK3588是ARM64架构，ROS1 Noetic仅适配Ubuntu 20.04（ARM64版本），先夯实底层环境：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系统与架构校验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确认系统版本（需Ubuntu 20.04 ARM64）</w:t>
              <w:br/>
              <w:t>lsb_release -a</w:t>
              <w:br/>
              <w:t># 确认架构（aarch64/arm64）</w:t>
              <w:br/>
            </w:r>
            <w:r>
              <w:rPr>
                <w:rFonts w:eastAsia="Consolas" w:ascii="Consolas" w:cs="Consolas" w:hAnsi="Consolas"/>
                <w:sz w:val="22"/>
              </w:rPr>
              <w:t>uname -m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若系统非官方适配版本，优先刷RK3588原厂Ubuntu 20.04 BSP（避免内核/驱动不兼容）。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ROS1 Noetic完整安装与环境变量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验证ROS安装（需输出noetic）</w:t>
              <w:br/>
              <w:t>rosversion -d</w:t>
              <w:br/>
              <w:t># 确认ROS环境变量（~/.bashrc需包含）</w:t>
              <w:br/>
              <w:t>source /opt/ros/noetic/setup.bash</w:t>
              <w:br/>
            </w:r>
            <w:r>
              <w:rPr>
                <w:rFonts w:eastAsia="Consolas" w:ascii="Consolas" w:cs="Consolas" w:hAnsi="Consolas"/>
                <w:sz w:val="22"/>
              </w:rPr>
              <w:t>echo $ROS_PACKAGE_PATH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若自定义ROS工作空间，需确保</w:t>
      </w:r>
      <w:r>
        <w:rPr>
          <w:rFonts w:eastAsia="Consolas" w:ascii="Consolas" w:cs="Consolas" w:hAnsi="Consolas"/>
          <w:sz w:val="22"/>
          <w:shd w:fill="EFF0F1"/>
        </w:rPr>
        <w:t>source ~/catkin_ws/devel/setup.bash</w:t>
      </w:r>
      <w:r>
        <w:rPr>
          <w:rFonts w:eastAsia="等线" w:ascii="Arial" w:cs="Arial" w:hAnsi="Arial"/>
          <w:sz w:val="22"/>
        </w:rPr>
        <w:t>在环境变量中。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RK3588硬件依赖库安装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需安装原厂BSP中的核心库（如RKNN-Toolkit2、GPU/NNPU驱动、外设驱动）：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以RKNN为例（适配RK3588的推理库）</w:t>
              <w:br/>
              <w:t>pip install rknn-toolkit2==1.4.0  # 对应ARM64版本</w:t>
              <w:br/>
              <w:t># 安装硬件外设依赖（如GPIO/I2C）</w:t>
              <w:br/>
            </w:r>
            <w:r>
              <w:rPr>
                <w:rFonts w:eastAsia="Consolas" w:ascii="Consolas" w:cs="Consolas" w:hAnsi="Consolas"/>
                <w:sz w:val="22"/>
              </w:rPr>
              <w:t>sudo apt install libgpiod-dev i2c-tools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二、工程配置适配：针对ARM64/RK3588优化编译配置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ROS工程编译核心是</w:t>
      </w:r>
      <w:r>
        <w:rPr>
          <w:rFonts w:eastAsia="Consolas" w:ascii="Consolas" w:cs="Consolas" w:hAnsi="Consolas"/>
          <w:sz w:val="22"/>
          <w:shd w:fill="EFF0F1"/>
        </w:rPr>
        <w:t>CMakeLists.txt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package.xml</w:t>
      </w:r>
      <w:r>
        <w:rPr>
          <w:rFonts w:eastAsia="等线" w:ascii="Arial" w:cs="Arial" w:hAnsi="Arial"/>
          <w:sz w:val="22"/>
        </w:rPr>
        <w:t>，需适配ARM64架构与RK3588硬件特性：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package.xml依赖完整性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确保所有依赖（ROS包/系统库/RK3588库）声明完整，示例：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&lt;build_depend&gt;roscpp&lt;/build_depend&gt;</w:t>
              <w:br/>
              <w:t>&lt;build_depend&gt;rknnrt&lt;/build_depend&gt;  &lt;!-- RK3588推理库 --&gt;</w:t>
              <w:br/>
              <w:t>&lt;exec_depend&gt;libgpiod-dev&lt;/exec_depend&gt; &lt;!-- RK3588外设库 --&gt;</w:t>
              <w:br/>
            </w:r>
            <w:r>
              <w:rPr>
                <w:rFonts w:eastAsia="Consolas" w:ascii="Consolas" w:cs="Consolas" w:hAnsi="Consolas"/>
                <w:sz w:val="22"/>
              </w:rPr>
              <w:t>&lt;buildtool_depend&gt;catkin&lt;/buildtool_depend&gt;</w:t>
            </w:r>
          </w:p>
        </w:tc>
      </w:tr>
    </w:tbl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CMakeLists.txt关键配置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禁用x86架构编译选项，适配ARM64指令集：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CMake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针对RK3588（ARMv8.2-A）优化编译指令（避免x86的-march/-mtune）</w:t>
              <w:br/>
              <w:t>set(CMAKE_CXX_FLAGS "${CMAKE_CXX_FLAGS} -march=armv8.2-a -O2 -fPIC")</w:t>
              <w:br/>
              <w:t># 禁用32位编译</w:t>
              <w:br/>
            </w:r>
            <w:r>
              <w:rPr>
                <w:rFonts w:eastAsia="Consolas" w:ascii="Consolas" w:cs="Consolas" w:hAnsi="Consolas"/>
                <w:sz w:val="22"/>
              </w:rPr>
              <w:t>set(CMAKE_C_FLAGS "${CMAKE_C_FLAGS} -m64")</w:t>
            </w:r>
          </w:p>
        </w:tc>
      </w:tr>
    </w:tbl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链接RK3588硬件库（如RKNN、GPU库）：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CMake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指定RK3588库路径（原厂BSP的库目录）</w:t>
              <w:br/>
              <w:t>link_directories(/usr/lib/aarch64-linux-gnu/rk3588/)</w:t>
              <w:br/>
              <w:t># 链接库</w:t>
              <w:br/>
              <w:t>target_link_libraries(your_node_name</w:t>
              <w:br/>
              <w:t xml:space="preserve">  ${catkin_LIBRARIES}</w:t>
              <w:br/>
              <w:t xml:space="preserve">  librknnrt.so  # RK3588推理库</w:t>
              <w:br/>
              <w:t xml:space="preserve">  libmali.so    # RK3588 GPU库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开启调试模式（编译期保留调试信息）：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CMake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调试模式（优化前先关O2/O3，定位问题）</w:t>
              <w:br/>
            </w:r>
            <w:r>
              <w:rPr>
                <w:rFonts w:eastAsia="Consolas" w:ascii="Consolas" w:cs="Consolas" w:hAnsi="Consolas"/>
                <w:sz w:val="22"/>
              </w:rPr>
              <w:t>set(CMAKE_BUILD_TYPE Debug)  # 发布时可改为Release</w:t>
            </w:r>
          </w:p>
        </w:tc>
      </w:tr>
    </w:tbl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路径与权限配置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确保RK3588硬件设备（如</w:t>
      </w:r>
      <w:r>
        <w:rPr>
          <w:rFonts w:eastAsia="Consolas" w:ascii="Consolas" w:cs="Consolas" w:hAnsi="Consolas"/>
          <w:sz w:val="22"/>
          <w:shd w:fill="EFF0F1"/>
        </w:rPr>
        <w:t>/dev/rknn_dev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/dev/mali0</w:t>
      </w:r>
      <w:r>
        <w:rPr>
          <w:rFonts w:eastAsia="等线" w:ascii="Arial" w:cs="Arial" w:hAnsi="Arial"/>
          <w:sz w:val="22"/>
        </w:rPr>
        <w:t>）权限：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chmod 666 /dev/rknn_dev</w:t>
              <w:br/>
            </w:r>
            <w:r>
              <w:rPr>
                <w:rFonts w:eastAsia="Consolas" w:ascii="Consolas" w:cs="Consolas" w:hAnsi="Consolas"/>
                <w:sz w:val="22"/>
              </w:rPr>
              <w:t>sudo usermod -aG video $USER  # 加入GPU权限组</w:t>
            </w:r>
          </w:p>
        </w:tc>
      </w:tr>
    </w:tbl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动态库路径配置（避免运行时库缺失）：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临时配置（永久需写入/etc/ld.so.conf.d/rk3588.conf）</w:t>
              <w:br/>
              <w:t>export LD_LIBRARY_PATH=/usr/lib/aarch64-linux-gnu/rk3588/:$LD_LIBRARY_PATH</w:t>
              <w:br/>
            </w:r>
            <w:r>
              <w:rPr>
                <w:rFonts w:eastAsia="Consolas" w:ascii="Consolas" w:cs="Consolas" w:hAnsi="Consolas"/>
                <w:sz w:val="22"/>
              </w:rPr>
              <w:t>sudo ldconfig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三、编译流程管控：分步编译+错误定位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避免直接全量编译，分步验证降低排查成本：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工作空间清理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~/catkin_ws</w:t>
              <w:br/>
            </w:r>
            <w:r>
              <w:rPr>
                <w:rFonts w:eastAsia="Consolas" w:ascii="Consolas" w:cs="Consolas" w:hAnsi="Consolas"/>
                <w:sz w:val="22"/>
              </w:rPr>
              <w:t>catkin clean -y  # 清空旧编译产物（优化后必做）</w:t>
            </w:r>
          </w:p>
        </w:tc>
      </w:tr>
    </w:tbl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依赖自动安装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检查并安装ROS包依赖</w:t>
              <w:br/>
              <w:t>rosdep install --from-paths src --ignore-src -r -y</w:t>
              <w:br/>
            </w:r>
            <w:r>
              <w:rPr>
                <w:rFonts w:eastAsia="Consolas" w:ascii="Consolas" w:cs="Consolas" w:hAnsi="Consolas"/>
                <w:sz w:val="22"/>
              </w:rPr>
              <w:t># 手动安装RK3588非ROS依赖（如原厂SDK）</w:t>
            </w:r>
          </w:p>
        </w:tc>
      </w:tr>
    </w:tbl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分步编译（先单包，后全量）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方式1：catkin_make（基础）</w:t>
              <w:br/>
              <w:t>catkin_make -DCMAKE_BUILD_TYPE=Debug  # 调试模式编译</w:t>
              <w:br/>
              <w:t># 方式2：catkin build（推荐，支持并行/单包编译）</w:t>
              <w:br/>
              <w:t>catkin build your_package_name  # 先编译目标包</w:t>
              <w:br/>
            </w:r>
            <w:r>
              <w:rPr>
                <w:rFonts w:eastAsia="Consolas" w:ascii="Consolas" w:cs="Consolas" w:hAnsi="Consolas"/>
                <w:sz w:val="22"/>
              </w:rPr>
              <w:t>catkin build  # 全量编译</w:t>
            </w:r>
          </w:p>
        </w:tc>
      </w:tr>
    </w:tbl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编译错误定位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若报“库未找到”：检查</w:t>
      </w:r>
      <w:r>
        <w:rPr>
          <w:rFonts w:eastAsia="Consolas" w:ascii="Consolas" w:cs="Consolas" w:hAnsi="Consolas"/>
          <w:sz w:val="22"/>
          <w:shd w:fill="EFF0F1"/>
        </w:rPr>
        <w:t>link_directories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LD_LIBRARY_PATH</w:t>
      </w:r>
      <w:r>
        <w:rPr>
          <w:rFonts w:eastAsia="等线" w:ascii="Arial" w:cs="Arial" w:hAnsi="Arial"/>
          <w:sz w:val="22"/>
        </w:rPr>
        <w:t>是否包含RK3588库路径；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若报“指令集不兼容”：删除CMake中x86相关编译选项（如</w:t>
      </w:r>
      <w:r>
        <w:rPr>
          <w:rFonts w:eastAsia="Consolas" w:ascii="Consolas" w:cs="Consolas" w:hAnsi="Consolas"/>
          <w:sz w:val="22"/>
          <w:shd w:fill="EFF0F1"/>
        </w:rPr>
        <w:t>-march=x86-64</w:t>
      </w:r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若报“RK3588驱动缺失”：重新安装原厂BSP并加载驱动（如</w:t>
      </w:r>
      <w:r>
        <w:rPr>
          <w:rFonts w:eastAsia="Consolas" w:ascii="Consolas" w:cs="Consolas" w:hAnsi="Consolas"/>
          <w:sz w:val="22"/>
          <w:shd w:fill="EFF0F1"/>
        </w:rPr>
        <w:t>modprobe rknn</w:t>
      </w:r>
      <w:r>
        <w:rPr>
          <w:rFonts w:eastAsia="等线" w:ascii="Arial" w:cs="Arial" w:hAnsi="Arial"/>
          <w:sz w:val="22"/>
        </w:rPr>
        <w:t>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四、调试手段落地：编译期+运行期调试</w:t>
      </w:r>
      <w:bookmarkEnd w:id="3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编译期调试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开启CMake详细输出，定位编译细节：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catkin_make --cmake-args -DCMAKE_VERBOSE_MAKEFILE=ON</w:t>
            </w:r>
          </w:p>
        </w:tc>
      </w:tr>
    </w:tbl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检查编译产物架构（确保是ARM64）：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file ~/catkin_ws/devel/lib/your_package_name/your_node</w:t>
              <w:br/>
            </w:r>
            <w:r>
              <w:rPr>
                <w:rFonts w:eastAsia="Consolas" w:ascii="Consolas" w:cs="Consolas" w:hAnsi="Consolas"/>
                <w:sz w:val="22"/>
              </w:rPr>
              <w:t># 输出需包含：ELF 64-bit LSB executable, ARM aarch64</w:t>
            </w:r>
          </w:p>
        </w:tc>
      </w:tr>
    </w:tbl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运行期调试（核心）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ROS日志调试（最常用）：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启动节点并打印详细日志</w:t>
              <w:br/>
              <w:t>roslaunch your_package_name your_launch.launch --screen</w:t>
              <w:br/>
              <w:t># 查看ROS系统日志</w:t>
              <w:br/>
            </w:r>
            <w:r>
              <w:rPr>
                <w:rFonts w:eastAsia="Consolas" w:ascii="Consolas" w:cs="Consolas" w:hAnsi="Consolas"/>
                <w:sz w:val="22"/>
              </w:rPr>
              <w:t>rostopic echo /rosout</w:t>
            </w:r>
          </w:p>
        </w:tc>
      </w:tr>
    </w:tbl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GDB调试ARM64程序（定位崩溃/逻辑问题）：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启动GDB调试ROS节点</w:t>
              <w:br/>
              <w:t>rosrun --prefix 'gdb -ex run --args' your_package_name your_node</w:t>
              <w:br/>
            </w:r>
            <w:r>
              <w:rPr>
                <w:rFonts w:eastAsia="Consolas" w:ascii="Consolas" w:cs="Consolas" w:hAnsi="Consolas"/>
                <w:sz w:val="22"/>
              </w:rPr>
              <w:t># 常用GDB指令：bt（调用栈）、p（打印变量）、break（断点）</w:t>
            </w:r>
          </w:p>
        </w:tc>
      </w:tr>
    </w:tbl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RK3588硬件调试：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查看NNPU/GPU占用：</w:t>
      </w:r>
      <w:r>
        <w:rPr>
          <w:rFonts w:eastAsia="Consolas" w:ascii="Consolas" w:cs="Consolas" w:hAnsi="Consolas"/>
          <w:sz w:val="22"/>
          <w:shd w:fill="EFF0F1"/>
        </w:rPr>
        <w:t>rk3588-monitor</w:t>
      </w:r>
      <w:r>
        <w:rPr>
          <w:rFonts w:eastAsia="等线" w:ascii="Arial" w:cs="Arial" w:hAnsi="Arial"/>
          <w:sz w:val="22"/>
        </w:rPr>
        <w:t>（原厂工具）；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检查外设状态：</w:t>
      </w:r>
      <w:r>
        <w:rPr>
          <w:rFonts w:eastAsia="Consolas" w:ascii="Consolas" w:cs="Consolas" w:hAnsi="Consolas"/>
          <w:sz w:val="22"/>
          <w:shd w:fill="EFF0F1"/>
        </w:rPr>
        <w:t>i2cdetect -y 1</w:t>
      </w:r>
      <w:r>
        <w:rPr>
          <w:rFonts w:eastAsia="等线" w:ascii="Arial" w:cs="Arial" w:hAnsi="Arial"/>
          <w:sz w:val="22"/>
        </w:rPr>
        <w:t>（I2C）、</w:t>
      </w:r>
      <w:r>
        <w:rPr>
          <w:rFonts w:eastAsia="Consolas" w:ascii="Consolas" w:cs="Consolas" w:hAnsi="Consolas"/>
          <w:sz w:val="22"/>
          <w:shd w:fill="EFF0F1"/>
        </w:rPr>
        <w:t>gpiodetect</w:t>
      </w:r>
      <w:r>
        <w:rPr>
          <w:rFonts w:eastAsia="等线" w:ascii="Arial" w:cs="Arial" w:hAnsi="Arial"/>
          <w:sz w:val="22"/>
        </w:rPr>
        <w:t>（GPIO）；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内存泄漏检查（ARM64版valgrind）：</w:t>
      </w:r>
    </w:p>
    <w:tbl>
      <w:tblPr>
        <w:tblW w:w="0" w:type="auto"/>
        <w:tblInd w:w="136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920"/>
      </w:tblGrid>
      <w:tr>
        <w:tc>
          <w:tcPr>
            <w:tcW w:w="692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apt install valgrind</w:t>
              <w:br/>
            </w:r>
            <w:r>
              <w:rPr>
                <w:rFonts w:eastAsia="Consolas" w:ascii="Consolas" w:cs="Consolas" w:hAnsi="Consolas"/>
                <w:sz w:val="22"/>
              </w:rPr>
              <w:t>valgrind --leak-check=full rosrun your_package_name your_node</w:t>
            </w:r>
          </w:p>
        </w:tc>
      </w:tr>
    </w:tbl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优化回退验证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若优化后编译/运行异常，先回退到未优化版本：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注释CMake中的</w:t>
      </w:r>
      <w:r>
        <w:rPr>
          <w:rFonts w:eastAsia="Consolas" w:ascii="Consolas" w:cs="Consolas" w:hAnsi="Consolas"/>
          <w:sz w:val="22"/>
          <w:shd w:fill="EFF0F1"/>
        </w:rPr>
        <w:t>-O2/-O3</w:t>
      </w:r>
      <w:r>
        <w:rPr>
          <w:rFonts w:eastAsia="等线" w:ascii="Arial" w:cs="Arial" w:hAnsi="Arial"/>
          <w:sz w:val="22"/>
        </w:rPr>
        <w:t>优化选项，改用</w:t>
      </w:r>
      <w:r>
        <w:rPr>
          <w:rFonts w:eastAsia="Consolas" w:ascii="Consolas" w:cs="Consolas" w:hAnsi="Consolas"/>
          <w:sz w:val="22"/>
          <w:shd w:fill="EFF0F1"/>
        </w:rPr>
        <w:t>-O0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移除RK3588硬件加速逻辑，验证基础功能是否正常；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逐步恢复优化项，定位导致问题的代码/配置。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五、硬件适配校验：RK3588特有场景验证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针对RK3588的NNPU/GPU/外设，额外验证：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NNPU推理功能</w:t>
      </w:r>
      <w:r>
        <w:rPr>
          <w:rFonts w:eastAsia="等线" w:ascii="Arial" w:cs="Arial" w:hAnsi="Arial"/>
          <w:sz w:val="22"/>
        </w:rPr>
        <w:t>：运行简单RKNN推理例程，确认模型加载/推理正常；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GPU渲染</w:t>
      </w:r>
      <w:r>
        <w:rPr>
          <w:rFonts w:eastAsia="等线" w:ascii="Arial" w:cs="Arial" w:hAnsi="Arial"/>
          <w:sz w:val="22"/>
        </w:rPr>
        <w:t>：若ROS工程含RViz/OpenCV可视化，验证画面无花屏/卡顿；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外设通信</w:t>
      </w:r>
      <w:r>
        <w:rPr>
          <w:rFonts w:eastAsia="等线" w:ascii="Arial" w:cs="Arial" w:hAnsi="Arial"/>
          <w:sz w:val="22"/>
        </w:rPr>
        <w:t>：测试GPIO/I2C/UART等外设与ROS节点的交互（如传感器数据订阅）；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性能与稳定性</w:t>
      </w:r>
      <w:r>
        <w:rPr>
          <w:rFonts w:eastAsia="等线" w:ascii="Arial" w:cs="Arial" w:hAnsi="Arial"/>
          <w:sz w:val="22"/>
        </w:rPr>
        <w:t>：长时间运行工程，通过</w:t>
      </w:r>
      <w:r>
        <w:rPr>
          <w:rFonts w:eastAsia="Consolas" w:ascii="Consolas" w:cs="Consolas" w:hAnsi="Consolas"/>
          <w:sz w:val="22"/>
          <w:shd w:fill="EFF0F1"/>
        </w:rPr>
        <w:t>top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htop</w:t>
      </w:r>
      <w:r>
        <w:rPr>
          <w:rFonts w:eastAsia="等线" w:ascii="Arial" w:cs="Arial" w:hAnsi="Arial"/>
          <w:sz w:val="22"/>
        </w:rPr>
        <w:t>监控CPU/内存/NNPU占用，确认无内存泄漏/崩溃。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总结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核心逻辑是：</w:t>
      </w:r>
      <w:r>
        <w:rPr>
          <w:rFonts w:eastAsia="等线" w:ascii="Arial" w:cs="Arial" w:hAnsi="Arial"/>
          <w:b w:val="true"/>
          <w:sz w:val="22"/>
        </w:rPr>
        <w:t>先确保底层环境（RK3588+Ubuntu20.04+Noetic）合规 → 再适配工程配置（ARM64编译选项+RK3588库链接） → 分步编译定位问题 → 多维度调试验证功能 → 针对RK3588硬件特性做专项校验</w:t>
      </w:r>
      <w:r>
        <w:rPr>
          <w:rFonts w:eastAsia="等线" w:ascii="Arial" w:cs="Arial" w:hAnsi="Arial"/>
          <w:sz w:val="22"/>
        </w:rPr>
        <w:t>。优化后的工程需优先关闭编译优化（Debug模式）验证基础功能，再逐步开启优化并调试，避免因架构/硬件适配问题导致编译/运行异常。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581200">
    <w:lvl>
      <w:start w:val="1"/>
      <w:numFmt w:val="decimal"/>
      <w:suff w:val="tab"/>
      <w:lvlText w:val="%1."/>
      <w:rPr>
        <w:color w:val="3370ff"/>
      </w:rPr>
    </w:lvl>
  </w:abstractNum>
  <w:abstractNum w:abstractNumId="5581201">
    <w:lvl>
      <w:start w:val="2"/>
      <w:numFmt w:val="decimal"/>
      <w:suff w:val="tab"/>
      <w:lvlText w:val="%1."/>
      <w:rPr>
        <w:color w:val="3370ff"/>
      </w:rPr>
    </w:lvl>
  </w:abstractNum>
  <w:abstractNum w:abstractNumId="5581202">
    <w:lvl>
      <w:start w:val="3"/>
      <w:numFmt w:val="decimal"/>
      <w:suff w:val="tab"/>
      <w:lvlText w:val="%1."/>
      <w:rPr>
        <w:color w:val="3370ff"/>
      </w:rPr>
    </w:lvl>
  </w:abstractNum>
  <w:abstractNum w:abstractNumId="5581203">
    <w:lvl>
      <w:start w:val="1"/>
      <w:numFmt w:val="decimal"/>
      <w:suff w:val="tab"/>
      <w:lvlText w:val="%1."/>
      <w:rPr>
        <w:color w:val="3370ff"/>
      </w:rPr>
    </w:lvl>
  </w:abstractNum>
  <w:abstractNum w:abstractNumId="5581204">
    <w:lvl>
      <w:start w:val="2"/>
      <w:numFmt w:val="decimal"/>
      <w:suff w:val="tab"/>
      <w:lvlText w:val="%1."/>
      <w:rPr>
        <w:color w:val="3370ff"/>
      </w:rPr>
    </w:lvl>
  </w:abstractNum>
  <w:abstractNum w:abstractNumId="5581205">
    <w:lvl>
      <w:numFmt w:val="bullet"/>
      <w:suff w:val="tab"/>
      <w:lvlText w:val="￮"/>
      <w:rPr>
        <w:color w:val="3370ff"/>
      </w:rPr>
    </w:lvl>
  </w:abstractNum>
  <w:abstractNum w:abstractNumId="5581206">
    <w:lvl>
      <w:numFmt w:val="bullet"/>
      <w:suff w:val="tab"/>
      <w:lvlText w:val="￮"/>
      <w:rPr>
        <w:color w:val="3370ff"/>
      </w:rPr>
    </w:lvl>
  </w:abstractNum>
  <w:abstractNum w:abstractNumId="5581207">
    <w:lvl>
      <w:numFmt w:val="bullet"/>
      <w:suff w:val="tab"/>
      <w:lvlText w:val="￮"/>
      <w:rPr>
        <w:color w:val="3370ff"/>
      </w:rPr>
    </w:lvl>
  </w:abstractNum>
  <w:abstractNum w:abstractNumId="5581208">
    <w:lvl>
      <w:start w:val="3"/>
      <w:numFmt w:val="decimal"/>
      <w:suff w:val="tab"/>
      <w:lvlText w:val="%1."/>
      <w:rPr>
        <w:color w:val="3370ff"/>
      </w:rPr>
    </w:lvl>
  </w:abstractNum>
  <w:abstractNum w:abstractNumId="5581209">
    <w:lvl>
      <w:numFmt w:val="bullet"/>
      <w:suff w:val="tab"/>
      <w:lvlText w:val="￮"/>
      <w:rPr>
        <w:color w:val="3370ff"/>
      </w:rPr>
    </w:lvl>
  </w:abstractNum>
  <w:abstractNum w:abstractNumId="5581210">
    <w:lvl>
      <w:numFmt w:val="bullet"/>
      <w:suff w:val="tab"/>
      <w:lvlText w:val="￮"/>
      <w:rPr>
        <w:color w:val="3370ff"/>
      </w:rPr>
    </w:lvl>
  </w:abstractNum>
  <w:abstractNum w:abstractNumId="5581211">
    <w:lvl>
      <w:start w:val="1"/>
      <w:numFmt w:val="decimal"/>
      <w:suff w:val="tab"/>
      <w:lvlText w:val="%1."/>
      <w:rPr>
        <w:color w:val="3370ff"/>
      </w:rPr>
    </w:lvl>
  </w:abstractNum>
  <w:abstractNum w:abstractNumId="5581212">
    <w:lvl>
      <w:start w:val="2"/>
      <w:numFmt w:val="decimal"/>
      <w:suff w:val="tab"/>
      <w:lvlText w:val="%1."/>
      <w:rPr>
        <w:color w:val="3370ff"/>
      </w:rPr>
    </w:lvl>
  </w:abstractNum>
  <w:abstractNum w:abstractNumId="5581213">
    <w:lvl>
      <w:start w:val="3"/>
      <w:numFmt w:val="decimal"/>
      <w:suff w:val="tab"/>
      <w:lvlText w:val="%1."/>
      <w:rPr>
        <w:color w:val="3370ff"/>
      </w:rPr>
    </w:lvl>
  </w:abstractNum>
  <w:abstractNum w:abstractNumId="5581214">
    <w:lvl>
      <w:start w:val="4"/>
      <w:numFmt w:val="decimal"/>
      <w:suff w:val="tab"/>
      <w:lvlText w:val="%1."/>
      <w:rPr>
        <w:color w:val="3370ff"/>
      </w:rPr>
    </w:lvl>
  </w:abstractNum>
  <w:abstractNum w:abstractNumId="5581215">
    <w:lvl>
      <w:numFmt w:val="bullet"/>
      <w:suff w:val="tab"/>
      <w:lvlText w:val="￮"/>
      <w:rPr>
        <w:color w:val="3370ff"/>
      </w:rPr>
    </w:lvl>
  </w:abstractNum>
  <w:abstractNum w:abstractNumId="5581216">
    <w:lvl>
      <w:numFmt w:val="bullet"/>
      <w:suff w:val="tab"/>
      <w:lvlText w:val="￮"/>
      <w:rPr>
        <w:color w:val="3370ff"/>
      </w:rPr>
    </w:lvl>
  </w:abstractNum>
  <w:abstractNum w:abstractNumId="5581217">
    <w:lvl>
      <w:numFmt w:val="bullet"/>
      <w:suff w:val="tab"/>
      <w:lvlText w:val="￮"/>
      <w:rPr>
        <w:color w:val="3370ff"/>
      </w:rPr>
    </w:lvl>
  </w:abstractNum>
  <w:abstractNum w:abstractNumId="5581218">
    <w:lvl>
      <w:start w:val="1"/>
      <w:numFmt w:val="decimal"/>
      <w:suff w:val="tab"/>
      <w:lvlText w:val="%1."/>
      <w:rPr>
        <w:color w:val="3370ff"/>
      </w:rPr>
    </w:lvl>
  </w:abstractNum>
  <w:abstractNum w:abstractNumId="5581219">
    <w:lvl>
      <w:numFmt w:val="bullet"/>
      <w:suff w:val="tab"/>
      <w:lvlText w:val="￮"/>
      <w:rPr>
        <w:color w:val="3370ff"/>
      </w:rPr>
    </w:lvl>
  </w:abstractNum>
  <w:abstractNum w:abstractNumId="5581220">
    <w:lvl>
      <w:numFmt w:val="bullet"/>
      <w:suff w:val="tab"/>
      <w:lvlText w:val="￮"/>
      <w:rPr>
        <w:color w:val="3370ff"/>
      </w:rPr>
    </w:lvl>
  </w:abstractNum>
  <w:abstractNum w:abstractNumId="5581221">
    <w:lvl>
      <w:start w:val="2"/>
      <w:numFmt w:val="decimal"/>
      <w:suff w:val="tab"/>
      <w:lvlText w:val="%1."/>
      <w:rPr>
        <w:color w:val="3370ff"/>
      </w:rPr>
    </w:lvl>
  </w:abstractNum>
  <w:abstractNum w:abstractNumId="5581222">
    <w:lvl>
      <w:numFmt w:val="bullet"/>
      <w:suff w:val="tab"/>
      <w:lvlText w:val="￮"/>
      <w:rPr>
        <w:color w:val="3370ff"/>
      </w:rPr>
    </w:lvl>
  </w:abstractNum>
  <w:abstractNum w:abstractNumId="5581223">
    <w:lvl>
      <w:numFmt w:val="bullet"/>
      <w:suff w:val="tab"/>
      <w:lvlText w:val="￮"/>
      <w:rPr>
        <w:color w:val="3370ff"/>
      </w:rPr>
    </w:lvl>
  </w:abstractNum>
  <w:abstractNum w:abstractNumId="5581224">
    <w:lvl>
      <w:numFmt w:val="bullet"/>
      <w:suff w:val="tab"/>
      <w:lvlText w:val="￮"/>
      <w:rPr>
        <w:color w:val="3370ff"/>
      </w:rPr>
    </w:lvl>
  </w:abstractNum>
  <w:abstractNum w:abstractNumId="5581225">
    <w:lvl>
      <w:numFmt w:val="bullet"/>
      <w:suff w:val="tab"/>
      <w:lvlText w:val="▪"/>
      <w:rPr>
        <w:color w:val="3370ff"/>
        <w:sz w:val="11"/>
      </w:rPr>
    </w:lvl>
  </w:abstractNum>
  <w:abstractNum w:abstractNumId="5581226">
    <w:lvl>
      <w:numFmt w:val="bullet"/>
      <w:suff w:val="tab"/>
      <w:lvlText w:val="▪"/>
      <w:rPr>
        <w:color w:val="3370ff"/>
        <w:sz w:val="11"/>
      </w:rPr>
    </w:lvl>
  </w:abstractNum>
  <w:abstractNum w:abstractNumId="5581227">
    <w:lvl>
      <w:numFmt w:val="bullet"/>
      <w:suff w:val="tab"/>
      <w:lvlText w:val="▪"/>
      <w:rPr>
        <w:color w:val="3370ff"/>
        <w:sz w:val="11"/>
      </w:rPr>
    </w:lvl>
  </w:abstractNum>
  <w:abstractNum w:abstractNumId="5581228">
    <w:lvl>
      <w:start w:val="3"/>
      <w:numFmt w:val="decimal"/>
      <w:suff w:val="tab"/>
      <w:lvlText w:val="%1."/>
      <w:rPr>
        <w:color w:val="3370ff"/>
      </w:rPr>
    </w:lvl>
  </w:abstractNum>
  <w:abstractNum w:abstractNumId="5581229">
    <w:lvl>
      <w:numFmt w:val="bullet"/>
      <w:suff w:val="tab"/>
      <w:lvlText w:val="￮"/>
      <w:rPr>
        <w:color w:val="3370ff"/>
      </w:rPr>
    </w:lvl>
  </w:abstractNum>
  <w:abstractNum w:abstractNumId="5581230">
    <w:lvl>
      <w:numFmt w:val="bullet"/>
      <w:suff w:val="tab"/>
      <w:lvlText w:val="￮"/>
      <w:rPr>
        <w:color w:val="3370ff"/>
      </w:rPr>
    </w:lvl>
  </w:abstractNum>
  <w:abstractNum w:abstractNumId="5581231">
    <w:lvl>
      <w:numFmt w:val="bullet"/>
      <w:suff w:val="tab"/>
      <w:lvlText w:val="￮"/>
      <w:rPr>
        <w:color w:val="3370ff"/>
      </w:rPr>
    </w:lvl>
  </w:abstractNum>
  <w:abstractNum w:abstractNumId="5581232">
    <w:lvl>
      <w:start w:val="1"/>
      <w:numFmt w:val="decimal"/>
      <w:suff w:val="tab"/>
      <w:lvlText w:val="%1."/>
      <w:rPr>
        <w:color w:val="3370ff"/>
      </w:rPr>
    </w:lvl>
  </w:abstractNum>
  <w:abstractNum w:abstractNumId="5581233">
    <w:lvl>
      <w:start w:val="2"/>
      <w:numFmt w:val="decimal"/>
      <w:suff w:val="tab"/>
      <w:lvlText w:val="%1."/>
      <w:rPr>
        <w:color w:val="3370ff"/>
      </w:rPr>
    </w:lvl>
  </w:abstractNum>
  <w:abstractNum w:abstractNumId="5581234">
    <w:lvl>
      <w:start w:val="3"/>
      <w:numFmt w:val="decimal"/>
      <w:suff w:val="tab"/>
      <w:lvlText w:val="%1."/>
      <w:rPr>
        <w:color w:val="3370ff"/>
      </w:rPr>
    </w:lvl>
  </w:abstractNum>
  <w:abstractNum w:abstractNumId="5581235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5581200"/>
  </w:num>
  <w:num w:numId="2">
    <w:abstractNumId w:val="5581201"/>
  </w:num>
  <w:num w:numId="3">
    <w:abstractNumId w:val="5581202"/>
  </w:num>
  <w:num w:numId="4">
    <w:abstractNumId w:val="5581203"/>
  </w:num>
  <w:num w:numId="5">
    <w:abstractNumId w:val="5581204"/>
  </w:num>
  <w:num w:numId="6">
    <w:abstractNumId w:val="5581205"/>
  </w:num>
  <w:num w:numId="7">
    <w:abstractNumId w:val="5581206"/>
  </w:num>
  <w:num w:numId="8">
    <w:abstractNumId w:val="5581207"/>
  </w:num>
  <w:num w:numId="9">
    <w:abstractNumId w:val="5581208"/>
  </w:num>
  <w:num w:numId="10">
    <w:abstractNumId w:val="5581209"/>
  </w:num>
  <w:num w:numId="11">
    <w:abstractNumId w:val="5581210"/>
  </w:num>
  <w:num w:numId="12">
    <w:abstractNumId w:val="5581211"/>
  </w:num>
  <w:num w:numId="13">
    <w:abstractNumId w:val="5581212"/>
  </w:num>
  <w:num w:numId="14">
    <w:abstractNumId w:val="5581213"/>
  </w:num>
  <w:num w:numId="15">
    <w:abstractNumId w:val="5581214"/>
  </w:num>
  <w:num w:numId="16">
    <w:abstractNumId w:val="5581215"/>
  </w:num>
  <w:num w:numId="17">
    <w:abstractNumId w:val="5581216"/>
  </w:num>
  <w:num w:numId="18">
    <w:abstractNumId w:val="5581217"/>
  </w:num>
  <w:num w:numId="19">
    <w:abstractNumId w:val="5581218"/>
  </w:num>
  <w:num w:numId="20">
    <w:abstractNumId w:val="5581219"/>
  </w:num>
  <w:num w:numId="21">
    <w:abstractNumId w:val="5581220"/>
  </w:num>
  <w:num w:numId="22">
    <w:abstractNumId w:val="5581221"/>
  </w:num>
  <w:num w:numId="23">
    <w:abstractNumId w:val="5581222"/>
  </w:num>
  <w:num w:numId="24">
    <w:abstractNumId w:val="5581223"/>
  </w:num>
  <w:num w:numId="25">
    <w:abstractNumId w:val="5581224"/>
  </w:num>
  <w:num w:numId="26">
    <w:abstractNumId w:val="5581225"/>
  </w:num>
  <w:num w:numId="27">
    <w:abstractNumId w:val="5581226"/>
  </w:num>
  <w:num w:numId="28">
    <w:abstractNumId w:val="5581227"/>
  </w:num>
  <w:num w:numId="29">
    <w:abstractNumId w:val="5581228"/>
  </w:num>
  <w:num w:numId="30">
    <w:abstractNumId w:val="5581229"/>
  </w:num>
  <w:num w:numId="31">
    <w:abstractNumId w:val="5581230"/>
  </w:num>
  <w:num w:numId="32">
    <w:abstractNumId w:val="5581231"/>
  </w:num>
  <w:num w:numId="33">
    <w:abstractNumId w:val="5581232"/>
  </w:num>
  <w:num w:numId="34">
    <w:abstractNumId w:val="5581233"/>
  </w:num>
  <w:num w:numId="35">
    <w:abstractNumId w:val="5581234"/>
  </w:num>
  <w:num w:numId="36">
    <w:abstractNumId w:val="558123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2026-03-28T09:30:45Z</dcterms:created>
  <dc:creator>Apache POI</dc:creator>
</cp:coreProperties>
</file>