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Standard Operating Procedure</w:t>
      </w:r>
    </w:p>
    <w:p>
      <w:pPr>
        <w:spacing w:after="200"/>
        <w:jc w:val="center"/>
      </w:pPr>
      <w:r>
        <w:rPr>
          <w:b/>
          <w:bCs/>
          <w:color w:val="2E75B6"/>
          <w:sz w:val="28"/>
          <w:szCs w:val="28"/>
        </w:rPr>
        <w:t xml:space="preserve">Understanding CEM, CIM, and THIRF</w:t>
      </w:r>
    </w:p>
    <w:p>
      <w:pPr>
        <w:spacing w:after="400"/>
        <w:jc w:val="center"/>
      </w:pPr>
      <w:r>
        <w:rPr>
          <w:i/>
          <w:iCs/>
          <w:color w:val="666666"/>
          <w:sz w:val="20"/>
          <w:szCs w:val="20"/>
        </w:rPr>
        <w:t xml:space="preserve">Endpoint Security Logging Data Models for OMB M-26-14 Compliance</w:t>
      </w:r>
    </w:p>
    <w:p>
      <w:pPr>
        <w:pStyle w:val="Heading1"/>
      </w:pPr>
      <w:r>
        <w:t xml:space="preserve">1. Purpose</w:t>
      </w:r>
    </w:p>
    <w:p>
      <w:pPr>
        <w:spacing w:after="200"/>
      </w:pPr>
      <w:r>
        <w:t xml:space="preserve">This SOP defines the terms Continuous Event Monitoring (CEM), Common Information Model (CIM), and Threat Hunting, Investigation, Response, and Forensics (THIRF) as they are used throughout the Endpoint Security Logging Data Models. These terms appear repeatedly in model documentation, retention requirements, collection guidance, and gap analyses. Personnel using these resources must understand what each term means, why it exists, and how it applies to real operational work.</w:t>
      </w:r>
    </w:p>
    <w:p>
      <w:pPr>
        <w:pStyle w:val="Heading1"/>
      </w:pPr>
      <w:r>
        <w:t xml:space="preserve">2. Scope</w:t>
      </w:r>
    </w:p>
    <w:p>
      <w:pPr>
        <w:spacing w:after="120"/>
      </w:pPr>
      <w:r>
        <w:t xml:space="preserve">This procedure applies to all personnel who:</w:t>
      </w:r>
    </w:p>
    <w:p>
      <w:pPr>
        <w:pStyle w:val="ListParagraph"/>
        <w:numPr>
          <w:ilvl w:val="0"/>
          <w:numId w:val="2"/>
        </w:numPr>
      </w:pPr>
      <w:r>
        <w:t xml:space="preserve">Review or implement Endpoint Security Logging Data Models</w:t>
      </w:r>
    </w:p>
    <w:p>
      <w:pPr>
        <w:pStyle w:val="ListParagraph"/>
        <w:numPr>
          <w:ilvl w:val="0"/>
          <w:numId w:val="2"/>
        </w:numPr>
      </w:pPr>
      <w:r>
        <w:t xml:space="preserve">Design or operate Cribl Stream / Cribl Edge pipelines</w:t>
      </w:r>
    </w:p>
    <w:p>
      <w:pPr>
        <w:pStyle w:val="ListParagraph"/>
        <w:numPr>
          <w:ilvl w:val="0"/>
          <w:numId w:val="2"/>
        </w:numPr>
      </w:pPr>
      <w:r>
        <w:t xml:space="preserve">Normalize data to Splunk CIM for SIEM or analytics platforms</w:t>
      </w:r>
    </w:p>
    <w:p>
      <w:pPr>
        <w:pStyle w:val="ListParagraph"/>
        <w:numPr>
          <w:ilvl w:val="0"/>
          <w:numId w:val="2"/>
        </w:numPr>
      </w:pPr>
      <w:r>
        <w:t xml:space="preserve">Support Continuous Event Monitoring or incident response activities</w:t>
      </w:r>
    </w:p>
    <w:p>
      <w:pPr>
        <w:pStyle w:val="ListParagraph"/>
        <w:numPr>
          <w:ilvl w:val="0"/>
          <w:numId w:val="2"/>
        </w:numPr>
      </w:pPr>
      <w:r>
        <w:t xml:space="preserve">Evaluate logging maturity against OMB Memorandum M-26-14</w:t>
      </w:r>
    </w:p>
    <w:p>
      <w:pPr>
        <w:spacing w:after="200" w:before="120"/>
      </w:pPr>
      <w:r>
        <w:t xml:space="preserve">The definitions and examples below are technology-agnostic where possible and aligned with federal civilian and DoD logging expectations.</w:t>
      </w:r>
    </w:p>
    <w:p>
      <w:pPr>
        <w:pStyle w:val="Heading1"/>
      </w:pPr>
      <w:r>
        <w:t xml:space="preserve">3. Definitions</w:t>
      </w:r>
    </w:p>
    <w:p>
      <w:pPr>
        <w:spacing w:after="160"/>
      </w:pPr>
      <w:r>
        <w:t xml:space="preserve">The three terms are foundational to the models. CEM and THIRF describe the outcomes and retention requirements established by OMB M-26-14. CIM describes the normalization standard used so data from different sources can be searched and correlated consistently.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CCCCC" w:sz="1"/>
              <w:left w:val="single" w:color="CCCCCC" w:sz="1"/>
              <w:bottom w:val="single" w:color="CCCCCC" w:sz="1"/>
              <w:right w:val="single" w:color="CCCCCC" w:sz="1"/>
            </w:tcBorders>
            <w:shd w:fill="1F4E79" w:val="clear"/>
            <w:vAlign w:val="center"/>
          </w:tcPr>
          <w:p>
            <w:r>
              <w:rPr>
                <w:b/>
                <w:bCs/>
                <w:color w:val="FFFFFF"/>
                <w:sz w:val="20"/>
                <w:szCs w:val="20"/>
              </w:rPr>
              <w:t xml:space="preserve">Term</w:t>
            </w:r>
          </w:p>
        </w:tc>
        <w:tc>
          <w:tcPr>
            <w:tcW w:type="dxa" w:w="7880"/>
            <w:tcBorders>
              <w:top w:val="single" w:color="CCCCCC" w:sz="1"/>
              <w:left w:val="single" w:color="CCCCCC" w:sz="1"/>
              <w:bottom w:val="single" w:color="CCCCCC" w:sz="1"/>
              <w:right w:val="single" w:color="CCCCCC" w:sz="1"/>
            </w:tcBorders>
            <w:shd w:fill="1F4E79" w:val="clear"/>
            <w:vAlign w:val="center"/>
          </w:tcPr>
          <w:p>
            <w:r>
              <w:rPr>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2F2F2" w:val="clear"/>
            <w:vAlign w:val="center"/>
          </w:tcPr>
          <w:p>
            <w:r>
              <w:rPr>
                <w:b/>
                <w:bCs/>
                <w:sz w:val="20"/>
                <w:szCs w:val="20"/>
              </w:rPr>
              <w:t xml:space="preserve">CEM</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Continuous Event Monitoring. Actively searchable log data (minimum 6 months) that supports real-time or near-real-time detection, alerting, and ongoing security monitoring. CEM answers the question: “What is happening right now?”</w:t>
            </w:r>
          </w:p>
        </w:tc>
      </w:tr>
      <w:tr>
        <w:tc>
          <w:tcPr>
            <w:tcW w:type="dxa" w:w="2200"/>
            <w:tcBorders>
              <w:top w:val="single" w:color="CCCCCC" w:sz="1"/>
              <w:left w:val="single" w:color="CCCCCC" w:sz="1"/>
              <w:bottom w:val="single" w:color="CCCCCC" w:sz="1"/>
              <w:right w:val="single" w:color="CCCCCC" w:sz="1"/>
            </w:tcBorders>
            <w:vAlign w:val="center"/>
          </w:tcPr>
          <w:p>
            <w:r>
              <w:rPr>
                <w:b/>
                <w:bCs/>
                <w:sz w:val="20"/>
                <w:szCs w:val="20"/>
              </w:rPr>
              <w:t xml:space="preserve">THIRF</w:t>
            </w:r>
          </w:p>
        </w:tc>
        <w:tc>
          <w:tcPr>
            <w:tcW w:type="dxa" w:w="7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Threat Hunting, Investigation, Response, and Forensics. Retrievable log data (minimum 12 months) that supports after-the-fact investigation, threat hunting, incident response, and forensic analysis. THIRF answers the question: “What happened and how do we reconstruct it?”</w:t>
            </w:r>
          </w:p>
        </w:tc>
      </w:tr>
      <w:tr>
        <w:tc>
          <w:tcPr>
            <w:tcW w:type="dxa" w:w="2200"/>
            <w:tcBorders>
              <w:top w:val="single" w:color="CCCCCC" w:sz="1"/>
              <w:left w:val="single" w:color="CCCCCC" w:sz="1"/>
              <w:bottom w:val="single" w:color="CCCCCC" w:sz="1"/>
              <w:right w:val="single" w:color="CCCCCC" w:sz="1"/>
            </w:tcBorders>
            <w:shd w:fill="F2F2F2" w:val="clear"/>
            <w:vAlign w:val="center"/>
          </w:tcPr>
          <w:p>
            <w:r>
              <w:rPr>
                <w:b/>
                <w:bCs/>
                <w:sz w:val="20"/>
                <w:szCs w:val="20"/>
              </w:rPr>
              <w:t xml:space="preserve">CIM</w:t>
            </w:r>
          </w:p>
        </w:tc>
        <w:tc>
          <w:tcPr>
            <w:tcW w:type="dxa" w:w="7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Splunk Common Information Model. A shared semantic model of field names, tags, and data models used to normalize events from different sources so they can be searched, correlated, and visualized consistently across SIEM and analytics platforms.</w:t>
            </w:r>
          </w:p>
        </w:tc>
      </w:tr>
    </w:tbl>
    <w:p>
      <w:pPr>
        <w:pStyle w:val="Heading1"/>
      </w:pPr>
      <w:r>
        <w:t xml:space="preserve">4. Why These Terms Matter</w:t>
      </w:r>
    </w:p>
    <w:p>
      <w:pPr>
        <w:spacing w:after="120"/>
      </w:pPr>
      <w:r>
        <w:t xml:space="preserve">OMB Memorandum M-26-14 requires agencies to maintain effective logging and network visibility. The memorandum distinguishes between data that must be actively searchable for continuous monitoring and data that must remain retrievable for longer-term investigation and forensics. The Endpoint Security Logging Data Models implement that distinction by mapping log sources and critical attributes to CEM and THIRF outcomes.</w:t>
      </w:r>
    </w:p>
    <w:p>
      <w:pPr>
        <w:spacing w:after="120"/>
      </w:pPr>
      <w:r>
        <w:t xml:space="preserve">CIM is the practical mechanism that makes those outcomes usable. Without consistent field names and tags, an analyst cannot efficiently search across Windows Event Logs, Linux auditd, AWS CloudTrail, firewall traffic, and database audit logs in a single query. Normalization to CIM is what turns raw collection into searchable, correlatable security data.</w:t>
      </w:r>
    </w:p>
    <w:p>
      <w:pPr>
        <w:spacing w:after="200"/>
      </w:pPr>
      <w:r>
        <w:t xml:space="preserve">Personnel who implement or review the models must be able to explain the difference between “searchable for 6 months” (CEM) and “retrievable for 12 months” (THIRF), and must understand that CIM alignment is the bridge between collection and detection or investigation.</w:t>
      </w:r>
    </w:p>
    <w:p>
      <w:pPr>
        <w:pStyle w:val="Heading1"/>
      </w:pPr>
      <w:r>
        <w:t xml:space="preserve">5. Continuous Event Monitoring (CEM)</w:t>
      </w:r>
    </w:p>
    <w:p>
      <w:pPr>
        <w:pStyle w:val="Heading2"/>
      </w:pPr>
      <w:r>
        <w:t xml:space="preserve">5.1 Operational Meaning</w:t>
      </w:r>
    </w:p>
    <w:p>
      <w:pPr>
        <w:spacing w:after="120"/>
      </w:pPr>
      <w:r>
        <w:t xml:space="preserve">CEM data is the subset of logs that must be actively searchable so that detection rules, correlation searches, and dashboards can operate against them. The baseline retention for CEM under M-26-14 is a minimum of 6 months of searchable data.</w:t>
      </w:r>
    </w:p>
    <w:p>
      <w:pPr>
        <w:spacing w:after="160"/>
      </w:pPr>
      <w:r>
        <w:t xml:space="preserve">CEM supports day-to-day security operations: alerting on failed logons, detecting anomalous process execution, identifying lateral movement, and monitoring authentication failures in near real time.</w:t>
      </w:r>
    </w:p>
    <w:p>
      <w:pPr>
        <w:pStyle w:val="Heading2"/>
      </w:pPr>
      <w:r>
        <w:t xml:space="preserve">5.2 Real-World Examples</w:t>
      </w:r>
    </w:p>
    <w:p>
      <w:pPr>
        <w:pStyle w:val="ListParagraph"/>
        <w:numPr>
          <w:ilvl w:val="0"/>
          <w:numId w:val="3"/>
        </w:numPr>
      </w:pPr>
      <w:r>
        <w:rPr>
          <w:b/>
          <w:bCs/>
        </w:rPr>
        <w:t xml:space="preserve">Windows Security Event Log + Sysmon (Endpoint Processes): </w:t>
      </w:r>
      <w:r>
        <w:t xml:space="preserve">A SOC analyst runs a correlation search that looks for process creation (Sysmon Event ID 1 or Windows 4688) where the parent process is an unexpected application and the command line contains encoded PowerShell. Because these events are normalized to the CIM Endpoint Processes data model and retained as searchable for 6 months, the search returns results across all Windows hosts without custom field extraction for each source.</w:t>
      </w:r>
    </w:p>
    <w:p>
      <w:pPr>
        <w:pStyle w:val="ListParagraph"/>
        <w:numPr>
          <w:ilvl w:val="0"/>
          <w:numId w:val="3"/>
        </w:numPr>
      </w:pPr>
      <w:r>
        <w:rPr>
          <w:b/>
          <w:bCs/>
        </w:rPr>
        <w:t xml:space="preserve">AWS CloudTrail (Change / Authentication): </w:t>
      </w:r>
      <w:r>
        <w:t xml:space="preserve">A detection rule alerts when an IAM user assumes a role from an unusual source IP and then creates a new access key. CloudTrail events normalized to CIM Authentication and Change allow the rule to use the same field names (src, user, action) that are used for on-premises authentication events.</w:t>
      </w:r>
    </w:p>
    <w:p>
      <w:pPr>
        <w:pStyle w:val="ListParagraph"/>
        <w:numPr>
          <w:ilvl w:val="0"/>
          <w:numId w:val="3"/>
        </w:numPr>
        <w:spacing w:after="200"/>
      </w:pPr>
      <w:r>
        <w:rPr>
          <w:b/>
          <w:bCs/>
        </w:rPr>
        <w:t xml:space="preserve">Firewall Traffic Logs (Network Traffic): </w:t>
      </w:r>
      <w:r>
        <w:t xml:space="preserve">A continuous monitoring dashboard shows the top blocked destination IPs and applications over the last 30 days. Traffic logs from Palo Alto, Cisco FTD, and FortiGate are all normalized to the CIM Network Traffic data model so a single search works regardless of which firewall generated the event.</w:t>
      </w:r>
    </w:p>
    <w:p>
      <w:pPr>
        <w:pStyle w:val="Heading1"/>
      </w:pPr>
      <w:r>
        <w:t xml:space="preserve">6. Threat Hunting, Investigation, Response, and Forensics (THIRF)</w:t>
      </w:r>
    </w:p>
    <w:p>
      <w:pPr>
        <w:pStyle w:val="Heading2"/>
      </w:pPr>
      <w:r>
        <w:t xml:space="preserve">6.1 Operational Meaning</w:t>
      </w:r>
    </w:p>
    <w:p>
      <w:pPr>
        <w:spacing w:after="120"/>
      </w:pPr>
      <w:r>
        <w:t xml:space="preserve">THIRF data is the broader set of logs that must remain retrievable for a minimum of 12 months so that investigators can reconstruct activity after an incident is discovered, perform threat hunting across historical data, or support forensic analysis. THIRF data may be stored in a lower-cost tier or data lake and does not need to be as immediately searchable as CEM data, but it must be recoverable within a reasonable time frame.</w:t>
      </w:r>
    </w:p>
    <w:p>
      <w:pPr>
        <w:spacing w:after="160"/>
      </w:pPr>
      <w:r>
        <w:t xml:space="preserve">THIRF supports the work that happens after an alert or after an incident is declared: timeline reconstruction, identification of initial access, determination of scope, and evidence preservation.</w:t>
      </w:r>
    </w:p>
    <w:p>
      <w:pPr>
        <w:pStyle w:val="Heading2"/>
      </w:pPr>
      <w:r>
        <w:t xml:space="preserve">6.2 Real-World Examples</w:t>
      </w:r>
    </w:p>
    <w:p>
      <w:pPr>
        <w:pStyle w:val="ListParagraph"/>
        <w:numPr>
          <w:ilvl w:val="0"/>
          <w:numId w:val="3"/>
        </w:numPr>
      </w:pPr>
      <w:r>
        <w:rPr>
          <w:b/>
          <w:bCs/>
        </w:rPr>
        <w:t xml:space="preserve">Linux auditd and systemd journal (Endpoint Processes / Authentication): </w:t>
      </w:r>
      <w:r>
        <w:t xml:space="preserve">Six months after a suspected compromise, an investigator needs to determine whether a specific user account was used to execute a binary that was later deleted. The auditd EXECVE and SYSCALL records, plus journal entries, are still retrievable from the 12-month THIRF store even though they are no longer in the hot searchable index. The investigator restores the relevant data and searches using CIM-normalized fields (user, process, file_path, action).</w:t>
      </w:r>
    </w:p>
    <w:p>
      <w:pPr>
        <w:pStyle w:val="ListParagraph"/>
        <w:numPr>
          <w:ilvl w:val="0"/>
          <w:numId w:val="3"/>
        </w:numPr>
      </w:pPr>
      <w:r>
        <w:rPr>
          <w:b/>
          <w:bCs/>
        </w:rPr>
        <w:t xml:space="preserve">Database Audit Logs (Databases / Change): </w:t>
      </w:r>
      <w:r>
        <w:t xml:space="preserve">During an investigation into possible data exfiltration, responders need to reconstruct which accounts queried a sensitive table over a 9-month period. Oracle, SQL Server, and PostgreSQL audit logs retained for 12 months under THIRF allow the team to pull the historical records and normalize them to the CIM Databases data model for consistent analysis.</w:t>
      </w:r>
    </w:p>
    <w:p>
      <w:pPr>
        <w:pStyle w:val="ListParagraph"/>
        <w:numPr>
          <w:ilvl w:val="0"/>
          <w:numId w:val="3"/>
        </w:numPr>
        <w:spacing w:after="200"/>
      </w:pPr>
      <w:r>
        <w:rPr>
          <w:b/>
          <w:bCs/>
        </w:rPr>
        <w:t xml:space="preserve">Kubernetes API Server Audit Logs (Change / Authentication): </w:t>
      </w:r>
      <w:r>
        <w:t xml:space="preserve">A threat hunt is launched after indicators of compromise are found in a container image. The hunt requires API server audit logs showing which service accounts performed privileged actions in a namespace over the preceding year. Those logs are retrievable from the THIRF store and mapped to CIM Change so the same search logic used for AWS or Azure activity can be applied.</w:t>
      </w:r>
    </w:p>
    <w:p>
      <w:pPr>
        <w:pStyle w:val="Heading1"/>
      </w:pPr>
      <w:r>
        <w:t xml:space="preserve">7. Common Information Model (CIM)</w:t>
      </w:r>
    </w:p>
    <w:p>
      <w:pPr>
        <w:pStyle w:val="Heading2"/>
      </w:pPr>
      <w:r>
        <w:t xml:space="preserve">7.1 Operational Meaning</w:t>
      </w:r>
    </w:p>
    <w:p>
      <w:pPr>
        <w:spacing w:after="120"/>
      </w:pPr>
      <w:r>
        <w:t xml:space="preserve">CIM is the normalization target used by the Endpoint Security Logging Data Models. It provides a consistent set of field names, tags, and data models (Authentication, Endpoint, Change, Network Traffic, Web, Databases, etc.) so that events from different technologies can be searched and correlated without source-specific knowledge.</w:t>
      </w:r>
    </w:p>
    <w:p>
      <w:pPr>
        <w:spacing w:after="160"/>
      </w:pPr>
      <w:r>
        <w:t xml:space="preserve">In the recommended architecture, Cribl Stream performs the parsing, enrichment, and field mapping so that data arrives at the SIEM or analytics platform already aligned to CIM. This reduces the volume of raw data that must be stored in expensive searchable storage while still enabling both CEM and THIRF use cases.</w:t>
      </w:r>
    </w:p>
    <w:p>
      <w:pPr>
        <w:pStyle w:val="Heading2"/>
      </w:pPr>
      <w:r>
        <w:t xml:space="preserve">7.2 Real-World Examples</w:t>
      </w:r>
    </w:p>
    <w:p>
      <w:pPr>
        <w:pStyle w:val="ListParagraph"/>
        <w:numPr>
          <w:ilvl w:val="0"/>
          <w:numId w:val="3"/>
        </w:numPr>
      </w:pPr>
      <w:r>
        <w:rPr>
          <w:b/>
          <w:bCs/>
        </w:rPr>
        <w:t xml:space="preserve">Cross-platform authentication search: </w:t>
      </w:r>
      <w:r>
        <w:t xml:space="preserve">An analyst needs to find every failed authentication attempt for a specific user across Windows, Linux, macOS, and Entra ID. Because all four sources are normalized to the CIM Authentication data model (fields such as user, src, action, dest), a single search returns results from all platforms. Without CIM, the analyst would need four different searches with different field names.</w:t>
      </w:r>
    </w:p>
    <w:p>
      <w:pPr>
        <w:pStyle w:val="ListParagraph"/>
        <w:numPr>
          <w:ilvl w:val="0"/>
          <w:numId w:val="3"/>
        </w:numPr>
      </w:pPr>
      <w:r>
        <w:rPr>
          <w:b/>
          <w:bCs/>
        </w:rPr>
        <w:t xml:space="preserve">Endpoint process correlation: </w:t>
      </w:r>
      <w:r>
        <w:t xml:space="preserve">A detection content pack written against the CIM Endpoint Processes data model works for Sysmon on Windows, auditd on Linux, and Endpoint Security Framework events on macOS. The pack expects fields such as process, process_name, parent_process, user, and dest. The data models ensure those fields exist regardless of the original log source.</w:t>
      </w:r>
    </w:p>
    <w:p>
      <w:pPr>
        <w:pStyle w:val="ListParagraph"/>
        <w:numPr>
          <w:ilvl w:val="0"/>
          <w:numId w:val="3"/>
        </w:numPr>
        <w:spacing w:after="200"/>
      </w:pPr>
      <w:r>
        <w:rPr>
          <w:b/>
          <w:bCs/>
        </w:rPr>
        <w:t xml:space="preserve">Cribl Stream normalization pipeline: </w:t>
      </w:r>
      <w:r>
        <w:t xml:space="preserve">A Cribl Stream pipeline parses raw Windows Event Log XML, extracts EventCode, SubjectUserName, and ProcessName, then renames and tags the fields so they match the CIM Endpoint and Authentication data models before the data is routed to the searchable index (CEM) and the long-term store (THIRF). The same pipeline pattern is applied to Apache access logs (CIM Web), VPC Flow Logs (CIM Network Traffic), and PostgreSQL audit logs (CIM Databases).</w:t>
      </w:r>
    </w:p>
    <w:p>
      <w:pPr>
        <w:pStyle w:val="Heading1"/>
      </w:pPr>
      <w:r>
        <w:t xml:space="preserve">8. How CEM, THIRF, and CIM Work Together</w:t>
      </w:r>
    </w:p>
    <w:p>
      <w:pPr>
        <w:spacing w:after="120"/>
      </w:pPr>
      <w:r>
        <w:t xml:space="preserve">In the Endpoint Security Logging Data Models, the flow is consistent across technologies:</w:t>
      </w:r>
    </w:p>
    <w:p>
      <w:pPr>
        <w:pStyle w:val="ListParagraph"/>
        <w:numPr>
          <w:ilvl w:val="0"/>
          <w:numId w:val="3"/>
        </w:numPr>
      </w:pPr>
      <w:r>
        <w:t xml:space="preserve">Log sources (with Must Have / Should Have / Nice to Have priority) are collected.</w:t>
      </w:r>
    </w:p>
    <w:p>
      <w:pPr>
        <w:pStyle w:val="ListParagraph"/>
        <w:numPr>
          <w:ilvl w:val="0"/>
          <w:numId w:val="3"/>
        </w:numPr>
      </w:pPr>
      <w:r>
        <w:t xml:space="preserve">Critical attributes are extracted and mapped to CIM data models and fields.</w:t>
      </w:r>
    </w:p>
    <w:p>
      <w:pPr>
        <w:pStyle w:val="ListParagraph"/>
        <w:numPr>
          <w:ilvl w:val="0"/>
          <w:numId w:val="3"/>
        </w:numPr>
      </w:pPr>
      <w:r>
        <w:t xml:space="preserve">The normalized data is made actively searchable for a minimum of 6 months to support CEM.</w:t>
      </w:r>
    </w:p>
    <w:p>
      <w:pPr>
        <w:pStyle w:val="ListParagraph"/>
        <w:numPr>
          <w:ilvl w:val="0"/>
          <w:numId w:val="3"/>
        </w:numPr>
      </w:pPr>
      <w:r>
        <w:t xml:space="preserve">The same (or a broader set of) data is retained in a retrievable store for a minimum of 12 months to support THIRF.</w:t>
      </w:r>
    </w:p>
    <w:p>
      <w:pPr>
        <w:spacing w:after="200" w:before="160"/>
      </w:pPr>
      <w:r>
        <w:t xml:space="preserve">CIM is what makes both the 6-month searchable window and the 12-month retrievable window useful. Without it, CEM searches are slow and incomplete, and THIRF investigations require custom parsing for every source.</w:t>
      </w:r>
    </w:p>
    <w:p>
      <w:pPr>
        <w:pStyle w:val="Heading1"/>
      </w:pPr>
      <w:r>
        <w:t xml:space="preserve">9. Retention Baseline (OMB M-26-14)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rPr>
          <w:tblHeader/>
        </w:trPr>
        <w:tc>
          <w:tcPr>
            <w:tcW w:type="dxa" w:w="2520"/>
            <w:tcBorders>
              <w:top w:val="single" w:color="CCCCCC" w:sz="1"/>
              <w:left w:val="single" w:color="CCCCCC" w:sz="1"/>
              <w:bottom w:val="single" w:color="CCCCCC" w:sz="1"/>
              <w:right w:val="single" w:color="CCCCCC" w:sz="1"/>
            </w:tcBorders>
            <w:shd w:fill="1F4E79" w:val="clear"/>
            <w:vAlign w:val="center"/>
          </w:tcPr>
          <w:p>
            <w:r>
              <w:rPr>
                <w:b/>
                <w:bCs/>
                <w:color w:val="FFFFFF"/>
                <w:sz w:val="20"/>
                <w:szCs w:val="20"/>
              </w:rPr>
              <w:t xml:space="preserve">Outcome</w:t>
            </w:r>
          </w:p>
        </w:tc>
        <w:tc>
          <w:tcPr>
            <w:tcW w:type="dxa" w:w="3780"/>
            <w:tcBorders>
              <w:top w:val="single" w:color="CCCCCC" w:sz="1"/>
              <w:left w:val="single" w:color="CCCCCC" w:sz="1"/>
              <w:bottom w:val="single" w:color="CCCCCC" w:sz="1"/>
              <w:right w:val="single" w:color="CCCCCC" w:sz="1"/>
            </w:tcBorders>
            <w:shd w:fill="1F4E79" w:val="clear"/>
            <w:vAlign w:val="center"/>
          </w:tcPr>
          <w:p>
            <w:r>
              <w:rPr>
                <w:b/>
                <w:bCs/>
                <w:color w:val="FFFFFF"/>
                <w:sz w:val="20"/>
                <w:szCs w:val="20"/>
              </w:rPr>
              <w:t xml:space="preserve">Minimum Retention</w:t>
            </w:r>
          </w:p>
        </w:tc>
        <w:tc>
          <w:tcPr>
            <w:tcW w:type="dxa" w:w="3780"/>
            <w:tcBorders>
              <w:top w:val="single" w:color="CCCCCC" w:sz="1"/>
              <w:left w:val="single" w:color="CCCCCC" w:sz="1"/>
              <w:bottom w:val="single" w:color="CCCCCC" w:sz="1"/>
              <w:right w:val="single" w:color="CCCCCC" w:sz="1"/>
            </w:tcBorders>
            <w:shd w:fill="1F4E79" w:val="clear"/>
            <w:vAlign w:val="center"/>
          </w:tcPr>
          <w:p>
            <w:r>
              <w:rPr>
                <w:b/>
                <w:bCs/>
                <w:color w:val="FFFFFF"/>
                <w:sz w:val="20"/>
                <w:szCs w:val="20"/>
              </w:rPr>
              <w:t xml:space="preserve">Primary Use</w:t>
            </w:r>
          </w:p>
        </w:tc>
      </w:tr>
      <w:tr>
        <w:tc>
          <w:tcPr>
            <w:tcW w:type="dxa" w:w="2520"/>
            <w:tcBorders>
              <w:top w:val="single" w:color="CCCCCC" w:sz="1"/>
              <w:left w:val="single" w:color="CCCCCC" w:sz="1"/>
              <w:bottom w:val="single" w:color="CCCCCC" w:sz="1"/>
              <w:right w:val="single" w:color="CCCCCC" w:sz="1"/>
            </w:tcBorders>
            <w:shd w:fill="F2F2F2" w:val="clear"/>
            <w:vAlign w:val="center"/>
          </w:tcPr>
          <w:p>
            <w:r>
              <w:rPr>
                <w:b/>
                <w:bCs/>
                <w:sz w:val="20"/>
                <w:szCs w:val="20"/>
              </w:rPr>
              <w:t xml:space="preserve">CEM</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sz w:val="20"/>
                <w:szCs w:val="20"/>
              </w:rPr>
              <w:t xml:space="preserve">6 months searchable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sz w:val="20"/>
                <w:szCs w:val="20"/>
              </w:rPr>
              <w:t xml:space="preserve">Real-time detection, alerting, continuous monitoring</w:t>
            </w:r>
          </w:p>
        </w:tc>
      </w:tr>
      <w:tr>
        <w:tc>
          <w:tcPr>
            <w:tcW w:type="dxa" w:w="2520"/>
            <w:tcBorders>
              <w:top w:val="single" w:color="CCCCCC" w:sz="1"/>
              <w:left w:val="single" w:color="CCCCCC" w:sz="1"/>
              <w:bottom w:val="single" w:color="CCCCCC" w:sz="1"/>
              <w:right w:val="single" w:color="CCCCCC" w:sz="1"/>
            </w:tcBorders>
            <w:vAlign w:val="center"/>
          </w:tcPr>
          <w:p>
            <w:r>
              <w:rPr>
                <w:b/>
                <w:bCs/>
                <w:sz w:val="20"/>
                <w:szCs w:val="20"/>
              </w:rPr>
              <w:t xml:space="preserve">THIRF</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12 months retrievable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Threat hunting, investigation, response, forensics</w:t>
            </w:r>
          </w:p>
        </w:tc>
      </w:tr>
    </w:tbl>
    <w:p>
      <w:pPr>
        <w:pStyle w:val="Heading1"/>
      </w:pPr>
      <w:r>
        <w:t xml:space="preserve">10. Usage Guidance</w:t>
      </w:r>
    </w:p>
    <w:p>
      <w:pPr>
        <w:spacing w:after="120"/>
      </w:pPr>
      <w:r>
        <w:t xml:space="preserve">When reviewing or implementing a data model:</w:t>
      </w:r>
    </w:p>
    <w:p>
      <w:pPr>
        <w:pStyle w:val="ListParagraph"/>
        <w:numPr>
          <w:ilvl w:val="0"/>
          <w:numId w:val="3"/>
        </w:numPr>
      </w:pPr>
      <w:r>
        <w:t xml:space="preserve">Confirm which log sources are designated Must Have, Should Have, and Nice to Have.</w:t>
      </w:r>
    </w:p>
    <w:p>
      <w:pPr>
        <w:pStyle w:val="ListParagraph"/>
        <w:numPr>
          <w:ilvl w:val="0"/>
          <w:numId w:val="3"/>
        </w:numPr>
      </w:pPr>
      <w:r>
        <w:t xml:space="preserve">Verify that critical attributes are mapped to the appropriate CIM data models and fields.</w:t>
      </w:r>
    </w:p>
    <w:p>
      <w:pPr>
        <w:pStyle w:val="ListParagraph"/>
        <w:numPr>
          <w:ilvl w:val="0"/>
          <w:numId w:val="3"/>
        </w:numPr>
      </w:pPr>
      <w:r>
        <w:t xml:space="preserve">Ensure the resulting normalized data is available in a searchable store for at least 6 months (CEM).</w:t>
      </w:r>
    </w:p>
    <w:p>
      <w:pPr>
        <w:pStyle w:val="ListParagraph"/>
        <w:numPr>
          <w:ilvl w:val="0"/>
          <w:numId w:val="3"/>
        </w:numPr>
      </w:pPr>
      <w:r>
        <w:t xml:space="preserve">Ensure the data (or a broader set) is retained in a retrievable store for at least 12 months (THIRF).</w:t>
      </w:r>
    </w:p>
    <w:p>
      <w:pPr>
        <w:pStyle w:val="ListParagraph"/>
        <w:numPr>
          <w:ilvl w:val="0"/>
          <w:numId w:val="3"/>
        </w:numPr>
        <w:spacing w:after="200"/>
      </w:pPr>
      <w:r>
        <w:t xml:space="preserve">Use the Stack Comparison Template in each model to document gaps and the collection, parsing, and retention steps required to close them.</w:t>
      </w:r>
    </w:p>
    <w:p>
      <w:pPr>
        <w:pStyle w:val="Heading1"/>
      </w:pPr>
      <w:r>
        <w:t xml:space="preserve">11. References</w:t>
      </w:r>
    </w:p>
    <w:p>
      <w:pPr>
        <w:pStyle w:val="ListParagraph"/>
        <w:numPr>
          <w:ilvl w:val="0"/>
          <w:numId w:val="2"/>
        </w:numPr>
      </w:pPr>
      <w:r>
        <w:t xml:space="preserve">OMB Memorandum M-26-14 – Ensuring Effective and Efficient Agency Logging and Network Visibility to Defend Against Evolving Cyber Threats</w:t>
      </w:r>
    </w:p>
    <w:p>
      <w:pPr>
        <w:pStyle w:val="ListParagraph"/>
        <w:numPr>
          <w:ilvl w:val="0"/>
          <w:numId w:val="2"/>
        </w:numPr>
      </w:pPr>
      <w:r>
        <w:t xml:space="preserve">CISA Logging Reference Architecture (LRA)</w:t>
      </w:r>
    </w:p>
    <w:p>
      <w:pPr>
        <w:pStyle w:val="ListParagraph"/>
        <w:numPr>
          <w:ilvl w:val="0"/>
          <w:numId w:val="2"/>
        </w:numPr>
      </w:pPr>
      <w:r>
        <w:t xml:space="preserve">Splunk Common Information Model (CIM) Documentation</w:t>
      </w:r>
    </w:p>
    <w:p>
      <w:pPr>
        <w:pStyle w:val="ListParagraph"/>
        <w:numPr>
          <w:ilvl w:val="0"/>
          <w:numId w:val="2"/>
        </w:numPr>
      </w:pPr>
      <w:r>
        <w:t xml:space="preserve">Cribl Stream and Cribl Edge Documentation</w:t>
      </w:r>
    </w:p>
    <w:p>
      <w:pPr>
        <w:pStyle w:val="ListParagraph"/>
        <w:numPr>
          <w:ilvl w:val="0"/>
          <w:numId w:val="2"/>
        </w:numPr>
      </w:pPr>
      <w:r>
        <w:t xml:space="preserve">Endpoint Security Logging Data Models (this repository)</w:t>
      </w:r>
    </w:p>
    <w:p>
      <w:pPr>
        <w:spacing w:before="400"/>
        <w:jc w:val="center"/>
      </w:pPr>
      <w:r>
        <w:rPr>
          <w:i/>
          <w:iCs/>
          <w:color w:val="666666"/>
          <w:sz w:val="18"/>
          <w:szCs w:val="18"/>
        </w:rPr>
        <w:t xml:space="preserve">— End of SOP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jc w:val="center"/>
    </w:pPr>
    <w:r>
      <w:rPr>
        <w:color w:val="666666"/>
        <w:sz w:val="16"/>
        <w:szCs w:val="16"/>
      </w:rPr>
      <w:t xml:space="preserve">CEM, CIM, and THIRF SOP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pPr>
    <w:r>
      <w:rPr>
        <w:b/>
        <w:bCs/>
        <w:color w:val="1F4E79"/>
        <w:sz w:val="18"/>
        <w:szCs w:val="18"/>
      </w:rPr>
      <w:t xml:space="preserve">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2026-10-11T01:41:46.649Z</dcterms:created>
  <dcterms:modified xsi:type="dcterms:W3CDTF">2026-10-11T01:41:46.650Z</dcterms:modified>
</cp:coreProperties>
</file>

<file path=docProps/custom.xml><?xml version="1.0" encoding="utf-8"?>
<Properties xmlns="http://schemas.openxmlformats.org/officeDocument/2006/custom-properties" xmlns:vt="http://schemas.openxmlformats.org/officeDocument/2006/docPropsVTypes"/>
</file>