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60288" behindDoc="0" locked="0" layoutInCell="1" allowOverlap="1" wp14:anchorId="4A707A62" wp14:editId="274E119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bookmarkStart w:id="1" w:name="_Toc111023861"/>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bookmarkEnd w:id="1"/>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2" w:name="_Toc111023862"/>
      <w:r w:rsidRPr="00BE1B43">
        <w:rPr>
          <w:sz w:val="24"/>
          <w:szCs w:val="20"/>
          <w:highlight w:val="yellow"/>
        </w:rPr>
        <w:lastRenderedPageBreak/>
        <w:t>DECLARATION</w:t>
      </w:r>
      <w:bookmarkEnd w:id="2"/>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id w:val="1826162899"/>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0AE865D4" w14:textId="1D4A1122" w:rsidR="00BE1B43" w:rsidRDefault="00BE1B43">
          <w:pPr>
            <w:pStyle w:val="TOCHeading"/>
          </w:pPr>
          <w:r>
            <w:t>Table of Contents</w:t>
          </w:r>
        </w:p>
        <w:p w14:paraId="608A093C" w14:textId="77777777" w:rsidR="00BE1B43" w:rsidRPr="00BE1B43" w:rsidRDefault="00BE1B43" w:rsidP="00BE1B43">
          <w:pPr>
            <w:pStyle w:val="TOC1"/>
            <w:tabs>
              <w:tab w:val="right" w:leader="dot" w:pos="9016"/>
            </w:tabs>
            <w:rPr>
              <w:rFonts w:ascii="Arial" w:hAnsi="Arial" w:cs="Arial"/>
              <w:bCs/>
              <w:color w:val="000000" w:themeColor="text1"/>
              <w:highlight w:val="yellow"/>
            </w:rPr>
          </w:pPr>
          <w:hyperlink r:id="rId8" w:anchor="_Toc111023861" w:history="1">
            <w:r w:rsidRPr="00BE1B43">
              <w:rPr>
                <w:rStyle w:val="Hyperlink"/>
                <w:rFonts w:ascii="Arial" w:hAnsi="Arial" w:cs="Arial"/>
                <w:bCs/>
                <w:color w:val="000000" w:themeColor="text1"/>
                <w:highlight w:val="yellow"/>
                <w:u w:val="none"/>
              </w:rPr>
              <w:t>ABSTRACT</w:t>
            </w:r>
            <w:r w:rsidRPr="00BE1B43">
              <w:rPr>
                <w:rStyle w:val="Hyperlink"/>
                <w:rFonts w:ascii="Arial" w:hAnsi="Arial" w:cs="Arial"/>
                <w:bCs/>
                <w:webHidden/>
                <w:color w:val="000000" w:themeColor="text1"/>
                <w:highlight w:val="yellow"/>
                <w:u w:val="none"/>
              </w:rPr>
              <w:tab/>
            </w:r>
            <w:r w:rsidRPr="00BE1B43">
              <w:rPr>
                <w:rStyle w:val="Hyperlink"/>
                <w:rFonts w:ascii="Arial" w:hAnsi="Arial" w:cs="Arial"/>
                <w:bCs/>
                <w:webHidden/>
                <w:color w:val="000000" w:themeColor="text1"/>
                <w:highlight w:val="yellow"/>
                <w:u w:val="none"/>
              </w:rPr>
              <w:fldChar w:fldCharType="begin"/>
            </w:r>
            <w:r w:rsidRPr="00BE1B43">
              <w:rPr>
                <w:rStyle w:val="Hyperlink"/>
                <w:rFonts w:ascii="Arial" w:hAnsi="Arial" w:cs="Arial"/>
                <w:bCs/>
                <w:webHidden/>
                <w:color w:val="000000" w:themeColor="text1"/>
                <w:highlight w:val="yellow"/>
                <w:u w:val="none"/>
              </w:rPr>
              <w:instrText xml:space="preserve"> PAGEREF _Toc111023861 \h </w:instrText>
            </w:r>
            <w:r w:rsidRPr="00BE1B43">
              <w:rPr>
                <w:rStyle w:val="Hyperlink"/>
                <w:rFonts w:ascii="Arial" w:hAnsi="Arial" w:cs="Arial"/>
                <w:bCs/>
                <w:webHidden/>
                <w:color w:val="000000" w:themeColor="text1"/>
                <w:highlight w:val="yellow"/>
                <w:u w:val="none"/>
              </w:rPr>
            </w:r>
            <w:r w:rsidRPr="00BE1B43">
              <w:rPr>
                <w:rStyle w:val="Hyperlink"/>
                <w:rFonts w:ascii="Arial" w:hAnsi="Arial" w:cs="Arial"/>
                <w:bCs/>
                <w:webHidden/>
                <w:color w:val="000000" w:themeColor="text1"/>
                <w:highlight w:val="yellow"/>
                <w:u w:val="none"/>
              </w:rPr>
              <w:fldChar w:fldCharType="separate"/>
            </w:r>
            <w:r w:rsidRPr="00BE1B43">
              <w:rPr>
                <w:rStyle w:val="Hyperlink"/>
                <w:rFonts w:ascii="Arial" w:hAnsi="Arial" w:cs="Arial"/>
                <w:bCs/>
                <w:webHidden/>
                <w:color w:val="000000" w:themeColor="text1"/>
                <w:highlight w:val="yellow"/>
                <w:u w:val="none"/>
              </w:rPr>
              <w:t>i</w:t>
            </w:r>
            <w:r w:rsidRPr="00BE1B43">
              <w:rPr>
                <w:rStyle w:val="Hyperlink"/>
                <w:rFonts w:ascii="Arial" w:hAnsi="Arial" w:cs="Arial"/>
                <w:bCs/>
                <w:webHidden/>
                <w:color w:val="000000" w:themeColor="text1"/>
                <w:highlight w:val="yellow"/>
                <w:u w:val="none"/>
              </w:rPr>
              <w:fldChar w:fldCharType="end"/>
            </w:r>
          </w:hyperlink>
        </w:p>
        <w:p w14:paraId="2A9130A5" w14:textId="77777777" w:rsidR="00BE1B43" w:rsidRPr="00BE1B43" w:rsidRDefault="00BE1B43" w:rsidP="00BE1B43">
          <w:pPr>
            <w:pStyle w:val="TOC1"/>
            <w:tabs>
              <w:tab w:val="right" w:leader="dot" w:pos="9016"/>
            </w:tabs>
            <w:rPr>
              <w:rFonts w:ascii="Arial" w:hAnsi="Arial" w:cs="Arial"/>
              <w:bCs/>
              <w:color w:val="000000" w:themeColor="text1"/>
              <w:highlight w:val="yellow"/>
            </w:rPr>
          </w:pPr>
          <w:hyperlink r:id="rId9" w:anchor="_Toc111023862" w:history="1">
            <w:r w:rsidRPr="00BE1B43">
              <w:rPr>
                <w:rStyle w:val="Hyperlink"/>
                <w:rFonts w:ascii="Arial" w:hAnsi="Arial" w:cs="Arial"/>
                <w:bCs/>
                <w:color w:val="000000" w:themeColor="text1"/>
                <w:highlight w:val="yellow"/>
                <w:u w:val="none"/>
              </w:rPr>
              <w:t>DECLARATION</w:t>
            </w:r>
            <w:r w:rsidRPr="00BE1B43">
              <w:rPr>
                <w:rStyle w:val="Hyperlink"/>
                <w:rFonts w:ascii="Arial" w:hAnsi="Arial" w:cs="Arial"/>
                <w:bCs/>
                <w:webHidden/>
                <w:color w:val="000000" w:themeColor="text1"/>
                <w:highlight w:val="yellow"/>
                <w:u w:val="none"/>
              </w:rPr>
              <w:tab/>
            </w:r>
            <w:r w:rsidRPr="00BE1B43">
              <w:rPr>
                <w:rStyle w:val="Hyperlink"/>
                <w:rFonts w:ascii="Arial" w:hAnsi="Arial" w:cs="Arial"/>
                <w:bCs/>
                <w:webHidden/>
                <w:color w:val="000000" w:themeColor="text1"/>
                <w:highlight w:val="yellow"/>
                <w:u w:val="none"/>
              </w:rPr>
              <w:fldChar w:fldCharType="begin"/>
            </w:r>
            <w:r w:rsidRPr="00BE1B43">
              <w:rPr>
                <w:rStyle w:val="Hyperlink"/>
                <w:rFonts w:ascii="Arial" w:hAnsi="Arial" w:cs="Arial"/>
                <w:bCs/>
                <w:webHidden/>
                <w:color w:val="000000" w:themeColor="text1"/>
                <w:highlight w:val="yellow"/>
                <w:u w:val="none"/>
              </w:rPr>
              <w:instrText xml:space="preserve"> PAGEREF _Toc111023862 \h </w:instrText>
            </w:r>
            <w:r w:rsidRPr="00BE1B43">
              <w:rPr>
                <w:rStyle w:val="Hyperlink"/>
                <w:rFonts w:ascii="Arial" w:hAnsi="Arial" w:cs="Arial"/>
                <w:bCs/>
                <w:webHidden/>
                <w:color w:val="000000" w:themeColor="text1"/>
                <w:highlight w:val="yellow"/>
                <w:u w:val="none"/>
              </w:rPr>
            </w:r>
            <w:r w:rsidRPr="00BE1B43">
              <w:rPr>
                <w:rStyle w:val="Hyperlink"/>
                <w:rFonts w:ascii="Arial" w:hAnsi="Arial" w:cs="Arial"/>
                <w:bCs/>
                <w:webHidden/>
                <w:color w:val="000000" w:themeColor="text1"/>
                <w:highlight w:val="yellow"/>
                <w:u w:val="none"/>
              </w:rPr>
              <w:fldChar w:fldCharType="separate"/>
            </w:r>
            <w:r w:rsidRPr="00BE1B43">
              <w:rPr>
                <w:rStyle w:val="Hyperlink"/>
                <w:rFonts w:ascii="Arial" w:hAnsi="Arial" w:cs="Arial"/>
                <w:bCs/>
                <w:webHidden/>
                <w:color w:val="000000" w:themeColor="text1"/>
                <w:highlight w:val="yellow"/>
                <w:u w:val="none"/>
              </w:rPr>
              <w:t>ii</w:t>
            </w:r>
            <w:r w:rsidRPr="00BE1B43">
              <w:rPr>
                <w:rStyle w:val="Hyperlink"/>
                <w:rFonts w:ascii="Arial" w:hAnsi="Arial" w:cs="Arial"/>
                <w:bCs/>
                <w:webHidden/>
                <w:color w:val="000000" w:themeColor="text1"/>
                <w:highlight w:val="yellow"/>
                <w:u w:val="none"/>
              </w:rPr>
              <w:fldChar w:fldCharType="end"/>
            </w:r>
          </w:hyperlink>
        </w:p>
        <w:p w14:paraId="76599711" w14:textId="1F03E85C" w:rsidR="00BE1B43" w:rsidRPr="00BE1B43" w:rsidRDefault="00BE1B43" w:rsidP="00BE1B43">
          <w:pPr>
            <w:pStyle w:val="TOC1"/>
            <w:tabs>
              <w:tab w:val="right" w:leader="dot" w:pos="9016"/>
            </w:tabs>
            <w:rPr>
              <w:rFonts w:ascii="Arial" w:hAnsi="Arial" w:cs="Arial"/>
              <w:bCs/>
              <w:color w:val="000000" w:themeColor="text1"/>
            </w:rPr>
          </w:pPr>
          <w:hyperlink r:id="rId10" w:anchor="_Toc111023863" w:history="1">
            <w:r w:rsidRPr="00BE1B43">
              <w:rPr>
                <w:rStyle w:val="Hyperlink"/>
                <w:rFonts w:ascii="Arial" w:hAnsi="Arial" w:cs="Arial"/>
                <w:bCs/>
                <w:color w:val="000000" w:themeColor="text1"/>
                <w:highlight w:val="yellow"/>
                <w:u w:val="none"/>
              </w:rPr>
              <w:t>TABLE OF CONTENT</w:t>
            </w:r>
            <w:r w:rsidRPr="00BE1B43">
              <w:rPr>
                <w:rStyle w:val="Hyperlink"/>
                <w:rFonts w:ascii="Arial" w:hAnsi="Arial" w:cs="Arial"/>
                <w:bCs/>
                <w:webHidden/>
                <w:color w:val="000000" w:themeColor="text1"/>
                <w:highlight w:val="yellow"/>
                <w:u w:val="none"/>
              </w:rPr>
              <w:tab/>
            </w:r>
            <w:r w:rsidRPr="00BE1B43">
              <w:rPr>
                <w:rStyle w:val="Hyperlink"/>
                <w:rFonts w:ascii="Arial" w:hAnsi="Arial" w:cs="Arial"/>
                <w:bCs/>
                <w:webHidden/>
                <w:color w:val="000000" w:themeColor="text1"/>
                <w:highlight w:val="yellow"/>
                <w:u w:val="none"/>
              </w:rPr>
              <w:fldChar w:fldCharType="begin"/>
            </w:r>
            <w:r w:rsidRPr="00BE1B43">
              <w:rPr>
                <w:rStyle w:val="Hyperlink"/>
                <w:rFonts w:ascii="Arial" w:hAnsi="Arial" w:cs="Arial"/>
                <w:bCs/>
                <w:webHidden/>
                <w:color w:val="000000" w:themeColor="text1"/>
                <w:highlight w:val="yellow"/>
                <w:u w:val="none"/>
              </w:rPr>
              <w:instrText xml:space="preserve"> PAGEREF _Toc111023863 \h </w:instrText>
            </w:r>
            <w:r w:rsidRPr="00BE1B43">
              <w:rPr>
                <w:rStyle w:val="Hyperlink"/>
                <w:rFonts w:ascii="Arial" w:hAnsi="Arial" w:cs="Arial"/>
                <w:bCs/>
                <w:webHidden/>
                <w:color w:val="000000" w:themeColor="text1"/>
                <w:highlight w:val="yellow"/>
                <w:u w:val="none"/>
              </w:rPr>
            </w:r>
            <w:r w:rsidRPr="00BE1B43">
              <w:rPr>
                <w:rStyle w:val="Hyperlink"/>
                <w:rFonts w:ascii="Arial" w:hAnsi="Arial" w:cs="Arial"/>
                <w:bCs/>
                <w:webHidden/>
                <w:color w:val="000000" w:themeColor="text1"/>
                <w:highlight w:val="yellow"/>
                <w:u w:val="none"/>
              </w:rPr>
              <w:fldChar w:fldCharType="separate"/>
            </w:r>
            <w:r w:rsidRPr="00BE1B43">
              <w:rPr>
                <w:rStyle w:val="Hyperlink"/>
                <w:rFonts w:ascii="Arial" w:hAnsi="Arial" w:cs="Arial"/>
                <w:bCs/>
                <w:webHidden/>
                <w:color w:val="000000" w:themeColor="text1"/>
                <w:highlight w:val="yellow"/>
                <w:u w:val="none"/>
              </w:rPr>
              <w:t>iii</w:t>
            </w:r>
            <w:r w:rsidRPr="00BE1B43">
              <w:rPr>
                <w:rStyle w:val="Hyperlink"/>
                <w:rFonts w:ascii="Arial" w:hAnsi="Arial" w:cs="Arial"/>
                <w:bCs/>
                <w:webHidden/>
                <w:color w:val="000000" w:themeColor="text1"/>
                <w:highlight w:val="yellow"/>
                <w:u w:val="none"/>
              </w:rPr>
              <w:fldChar w:fldCharType="end"/>
            </w:r>
          </w:hyperlink>
        </w:p>
        <w:p w14:paraId="5C601F6A" w14:textId="065B4458" w:rsidR="00BE1B43" w:rsidRDefault="00BE1B4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5583576" w:history="1">
            <w:r w:rsidRPr="00695B23">
              <w:rPr>
                <w:rStyle w:val="Hyperlink"/>
                <w:rFonts w:ascii="Arial" w:eastAsia="Times New Roman" w:hAnsi="Arial" w:cs="Arial"/>
                <w:noProof/>
              </w:rPr>
              <w:t>1.CLARIFICATION OF CONCEPTS</w:t>
            </w:r>
            <w:r>
              <w:rPr>
                <w:noProof/>
                <w:webHidden/>
              </w:rPr>
              <w:tab/>
            </w:r>
            <w:r>
              <w:rPr>
                <w:noProof/>
                <w:webHidden/>
              </w:rPr>
              <w:fldChar w:fldCharType="begin"/>
            </w:r>
            <w:r>
              <w:rPr>
                <w:noProof/>
                <w:webHidden/>
              </w:rPr>
              <w:instrText xml:space="preserve"> PAGEREF _Toc175583576 \h </w:instrText>
            </w:r>
            <w:r>
              <w:rPr>
                <w:noProof/>
                <w:webHidden/>
              </w:rPr>
            </w:r>
            <w:r>
              <w:rPr>
                <w:noProof/>
                <w:webHidden/>
              </w:rPr>
              <w:fldChar w:fldCharType="separate"/>
            </w:r>
            <w:r>
              <w:rPr>
                <w:noProof/>
                <w:webHidden/>
              </w:rPr>
              <w:t>2</w:t>
            </w:r>
            <w:r>
              <w:rPr>
                <w:noProof/>
                <w:webHidden/>
              </w:rPr>
              <w:fldChar w:fldCharType="end"/>
            </w:r>
          </w:hyperlink>
        </w:p>
        <w:p w14:paraId="6EA21C6B" w14:textId="566C9F1D" w:rsidR="00BE1B43" w:rsidRDefault="00BE1B43">
          <w:pPr>
            <w:pStyle w:val="TOC1"/>
            <w:tabs>
              <w:tab w:val="right" w:leader="dot" w:pos="9016"/>
            </w:tabs>
            <w:rPr>
              <w:rFonts w:eastAsiaTheme="minorEastAsia"/>
              <w:noProof/>
              <w:lang w:eastAsia="en-ZA"/>
            </w:rPr>
          </w:pPr>
          <w:hyperlink w:anchor="_Toc175583577" w:history="1">
            <w:r w:rsidRPr="00695B23">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_Toc175583577 \h </w:instrText>
            </w:r>
            <w:r>
              <w:rPr>
                <w:noProof/>
                <w:webHidden/>
              </w:rPr>
            </w:r>
            <w:r>
              <w:rPr>
                <w:noProof/>
                <w:webHidden/>
              </w:rPr>
              <w:fldChar w:fldCharType="separate"/>
            </w:r>
            <w:r>
              <w:rPr>
                <w:noProof/>
                <w:webHidden/>
              </w:rPr>
              <w:t>2</w:t>
            </w:r>
            <w:r>
              <w:rPr>
                <w:noProof/>
                <w:webHidden/>
              </w:rPr>
              <w:fldChar w:fldCharType="end"/>
            </w:r>
          </w:hyperlink>
        </w:p>
        <w:p w14:paraId="5C2918D3" w14:textId="5983166B" w:rsidR="00BE1B43" w:rsidRDefault="00BE1B43">
          <w:pPr>
            <w:pStyle w:val="TOC1"/>
            <w:tabs>
              <w:tab w:val="right" w:leader="dot" w:pos="9016"/>
            </w:tabs>
            <w:rPr>
              <w:rFonts w:eastAsiaTheme="minorEastAsia"/>
              <w:noProof/>
              <w:lang w:eastAsia="en-ZA"/>
            </w:rPr>
          </w:pPr>
          <w:hyperlink w:anchor="_Toc175583578" w:history="1">
            <w:r w:rsidRPr="00695B23">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_Toc175583578 \h </w:instrText>
            </w:r>
            <w:r>
              <w:rPr>
                <w:noProof/>
                <w:webHidden/>
              </w:rPr>
            </w:r>
            <w:r>
              <w:rPr>
                <w:noProof/>
                <w:webHidden/>
              </w:rPr>
              <w:fldChar w:fldCharType="separate"/>
            </w:r>
            <w:r>
              <w:rPr>
                <w:noProof/>
                <w:webHidden/>
              </w:rPr>
              <w:t>3</w:t>
            </w:r>
            <w:r>
              <w:rPr>
                <w:noProof/>
                <w:webHidden/>
              </w:rPr>
              <w:fldChar w:fldCharType="end"/>
            </w:r>
          </w:hyperlink>
        </w:p>
        <w:p w14:paraId="2FAA3C7B" w14:textId="43BC0A98" w:rsidR="00BE1B43" w:rsidRDefault="00BE1B43">
          <w:pPr>
            <w:pStyle w:val="TOC1"/>
            <w:tabs>
              <w:tab w:val="right" w:leader="dot" w:pos="9016"/>
            </w:tabs>
            <w:rPr>
              <w:rFonts w:eastAsiaTheme="minorEastAsia"/>
              <w:noProof/>
              <w:lang w:eastAsia="en-ZA"/>
            </w:rPr>
          </w:pPr>
          <w:hyperlink w:anchor="_Toc175583579" w:history="1">
            <w:r w:rsidRPr="00695B23">
              <w:rPr>
                <w:rStyle w:val="Hyperlink"/>
                <w:noProof/>
                <w:lang w:val="en-US"/>
              </w:rPr>
              <w:t>4.THE PROBLEM NOTED</w:t>
            </w:r>
            <w:r>
              <w:rPr>
                <w:noProof/>
                <w:webHidden/>
              </w:rPr>
              <w:tab/>
            </w:r>
            <w:r>
              <w:rPr>
                <w:noProof/>
                <w:webHidden/>
              </w:rPr>
              <w:fldChar w:fldCharType="begin"/>
            </w:r>
            <w:r>
              <w:rPr>
                <w:noProof/>
                <w:webHidden/>
              </w:rPr>
              <w:instrText xml:space="preserve"> PAGEREF _Toc175583579 \h </w:instrText>
            </w:r>
            <w:r>
              <w:rPr>
                <w:noProof/>
                <w:webHidden/>
              </w:rPr>
            </w:r>
            <w:r>
              <w:rPr>
                <w:noProof/>
                <w:webHidden/>
              </w:rPr>
              <w:fldChar w:fldCharType="separate"/>
            </w:r>
            <w:r>
              <w:rPr>
                <w:noProof/>
                <w:webHidden/>
              </w:rPr>
              <w:t>5</w:t>
            </w:r>
            <w:r>
              <w:rPr>
                <w:noProof/>
                <w:webHidden/>
              </w:rPr>
              <w:fldChar w:fldCharType="end"/>
            </w:r>
          </w:hyperlink>
        </w:p>
        <w:p w14:paraId="30DF0EC1" w14:textId="1DA80DAA" w:rsidR="00BE1B43" w:rsidRDefault="00BE1B43">
          <w:pPr>
            <w:pStyle w:val="TOC1"/>
            <w:tabs>
              <w:tab w:val="right" w:leader="dot" w:pos="9016"/>
            </w:tabs>
            <w:rPr>
              <w:rFonts w:eastAsiaTheme="minorEastAsia"/>
              <w:noProof/>
              <w:lang w:eastAsia="en-ZA"/>
            </w:rPr>
          </w:pPr>
          <w:hyperlink w:anchor="_Toc175583580" w:history="1">
            <w:r w:rsidRPr="00695B23">
              <w:rPr>
                <w:rStyle w:val="Hyperlink"/>
                <w:rFonts w:ascii="Arial" w:hAnsi="Arial" w:cs="Arial"/>
                <w:noProof/>
              </w:rPr>
              <w:t>5.MANAGEMENT STRATEGY</w:t>
            </w:r>
            <w:r>
              <w:rPr>
                <w:noProof/>
                <w:webHidden/>
              </w:rPr>
              <w:tab/>
            </w:r>
            <w:r>
              <w:rPr>
                <w:noProof/>
                <w:webHidden/>
              </w:rPr>
              <w:fldChar w:fldCharType="begin"/>
            </w:r>
            <w:r>
              <w:rPr>
                <w:noProof/>
                <w:webHidden/>
              </w:rPr>
              <w:instrText xml:space="preserve"> PAGEREF _Toc175583580 \h </w:instrText>
            </w:r>
            <w:r>
              <w:rPr>
                <w:noProof/>
                <w:webHidden/>
              </w:rPr>
            </w:r>
            <w:r>
              <w:rPr>
                <w:noProof/>
                <w:webHidden/>
              </w:rPr>
              <w:fldChar w:fldCharType="separate"/>
            </w:r>
            <w:r>
              <w:rPr>
                <w:noProof/>
                <w:webHidden/>
              </w:rPr>
              <w:t>7</w:t>
            </w:r>
            <w:r>
              <w:rPr>
                <w:noProof/>
                <w:webHidden/>
              </w:rPr>
              <w:fldChar w:fldCharType="end"/>
            </w:r>
          </w:hyperlink>
        </w:p>
        <w:p w14:paraId="7845D44E" w14:textId="5EC4F406" w:rsidR="00BE1B43" w:rsidRDefault="00BE1B43">
          <w:pPr>
            <w:pStyle w:val="TOC1"/>
            <w:tabs>
              <w:tab w:val="right" w:leader="dot" w:pos="9016"/>
            </w:tabs>
            <w:rPr>
              <w:rFonts w:eastAsiaTheme="minorEastAsia"/>
              <w:noProof/>
              <w:lang w:eastAsia="en-ZA"/>
            </w:rPr>
          </w:pPr>
          <w:hyperlink w:anchor="_Toc175583581" w:history="1">
            <w:r w:rsidRPr="00695B23">
              <w:rPr>
                <w:rStyle w:val="Hyperlink"/>
                <w:rFonts w:ascii="Arial" w:hAnsi="Arial" w:cs="Arial"/>
                <w:noProof/>
              </w:rPr>
              <w:t>5.1THE AIM (GOAL) OF THE PROJECT</w:t>
            </w:r>
            <w:r>
              <w:rPr>
                <w:noProof/>
                <w:webHidden/>
              </w:rPr>
              <w:tab/>
            </w:r>
            <w:r>
              <w:rPr>
                <w:noProof/>
                <w:webHidden/>
              </w:rPr>
              <w:fldChar w:fldCharType="begin"/>
            </w:r>
            <w:r>
              <w:rPr>
                <w:noProof/>
                <w:webHidden/>
              </w:rPr>
              <w:instrText xml:space="preserve"> PAGEREF _Toc175583581 \h </w:instrText>
            </w:r>
            <w:r>
              <w:rPr>
                <w:noProof/>
                <w:webHidden/>
              </w:rPr>
            </w:r>
            <w:r>
              <w:rPr>
                <w:noProof/>
                <w:webHidden/>
              </w:rPr>
              <w:fldChar w:fldCharType="separate"/>
            </w:r>
            <w:r>
              <w:rPr>
                <w:noProof/>
                <w:webHidden/>
              </w:rPr>
              <w:t>7</w:t>
            </w:r>
            <w:r>
              <w:rPr>
                <w:noProof/>
                <w:webHidden/>
              </w:rPr>
              <w:fldChar w:fldCharType="end"/>
            </w:r>
          </w:hyperlink>
        </w:p>
        <w:p w14:paraId="29EEBE81" w14:textId="3220C6EB" w:rsidR="00BE1B43" w:rsidRDefault="00BE1B43">
          <w:pPr>
            <w:pStyle w:val="TOC1"/>
            <w:tabs>
              <w:tab w:val="right" w:leader="dot" w:pos="9016"/>
            </w:tabs>
            <w:rPr>
              <w:rFonts w:eastAsiaTheme="minorEastAsia"/>
              <w:noProof/>
              <w:lang w:eastAsia="en-ZA"/>
            </w:rPr>
          </w:pPr>
          <w:hyperlink w:anchor="_Toc175583582" w:history="1">
            <w:r w:rsidRPr="00695B23">
              <w:rPr>
                <w:rStyle w:val="Hyperlink"/>
                <w:noProof/>
              </w:rPr>
              <w:t>5.2 DECISION-MAKING CRITERIA</w:t>
            </w:r>
            <w:r>
              <w:rPr>
                <w:noProof/>
                <w:webHidden/>
              </w:rPr>
              <w:tab/>
            </w:r>
            <w:r>
              <w:rPr>
                <w:noProof/>
                <w:webHidden/>
              </w:rPr>
              <w:fldChar w:fldCharType="begin"/>
            </w:r>
            <w:r>
              <w:rPr>
                <w:noProof/>
                <w:webHidden/>
              </w:rPr>
              <w:instrText xml:space="preserve"> PAGEREF _Toc175583582 \h </w:instrText>
            </w:r>
            <w:r>
              <w:rPr>
                <w:noProof/>
                <w:webHidden/>
              </w:rPr>
            </w:r>
            <w:r>
              <w:rPr>
                <w:noProof/>
                <w:webHidden/>
              </w:rPr>
              <w:fldChar w:fldCharType="separate"/>
            </w:r>
            <w:r>
              <w:rPr>
                <w:noProof/>
                <w:webHidden/>
              </w:rPr>
              <w:t>8</w:t>
            </w:r>
            <w:r>
              <w:rPr>
                <w:noProof/>
                <w:webHidden/>
              </w:rPr>
              <w:fldChar w:fldCharType="end"/>
            </w:r>
          </w:hyperlink>
        </w:p>
        <w:p w14:paraId="470F329B" w14:textId="5A4824C3" w:rsidR="00BE1B43" w:rsidRDefault="00BE1B43">
          <w:pPr>
            <w:pStyle w:val="TOC1"/>
            <w:tabs>
              <w:tab w:val="right" w:leader="dot" w:pos="9016"/>
            </w:tabs>
            <w:rPr>
              <w:rFonts w:eastAsiaTheme="minorEastAsia"/>
              <w:noProof/>
              <w:lang w:eastAsia="en-ZA"/>
            </w:rPr>
          </w:pPr>
          <w:hyperlink w:anchor="_Toc175583583" w:history="1">
            <w:r w:rsidRPr="00695B23">
              <w:rPr>
                <w:rStyle w:val="Hyperlink"/>
                <w:noProof/>
              </w:rPr>
              <w:t>5.3 POSSIBLE SOLUTIONS AND OPTIONS</w:t>
            </w:r>
            <w:r>
              <w:rPr>
                <w:noProof/>
                <w:webHidden/>
              </w:rPr>
              <w:tab/>
            </w:r>
            <w:r>
              <w:rPr>
                <w:noProof/>
                <w:webHidden/>
              </w:rPr>
              <w:fldChar w:fldCharType="begin"/>
            </w:r>
            <w:r>
              <w:rPr>
                <w:noProof/>
                <w:webHidden/>
              </w:rPr>
              <w:instrText xml:space="preserve"> PAGEREF _Toc175583583 \h </w:instrText>
            </w:r>
            <w:r>
              <w:rPr>
                <w:noProof/>
                <w:webHidden/>
              </w:rPr>
            </w:r>
            <w:r>
              <w:rPr>
                <w:noProof/>
                <w:webHidden/>
              </w:rPr>
              <w:fldChar w:fldCharType="separate"/>
            </w:r>
            <w:r>
              <w:rPr>
                <w:noProof/>
                <w:webHidden/>
              </w:rPr>
              <w:t>9</w:t>
            </w:r>
            <w:r>
              <w:rPr>
                <w:noProof/>
                <w:webHidden/>
              </w:rPr>
              <w:fldChar w:fldCharType="end"/>
            </w:r>
          </w:hyperlink>
        </w:p>
        <w:p w14:paraId="2D1532AF" w14:textId="48CC56F4" w:rsidR="00BE1B43" w:rsidRDefault="00BE1B43">
          <w:pPr>
            <w:pStyle w:val="TOC1"/>
            <w:tabs>
              <w:tab w:val="right" w:leader="dot" w:pos="9016"/>
            </w:tabs>
            <w:rPr>
              <w:rFonts w:eastAsiaTheme="minorEastAsia"/>
              <w:noProof/>
              <w:lang w:eastAsia="en-ZA"/>
            </w:rPr>
          </w:pPr>
          <w:hyperlink w:anchor="_Toc175583584" w:history="1">
            <w:r w:rsidRPr="00695B23">
              <w:rPr>
                <w:rStyle w:val="Hyperlink"/>
                <w:rFonts w:ascii="Arial" w:hAnsi="Arial" w:cs="Arial"/>
                <w:noProof/>
                <w:lang w:val="en-US"/>
              </w:rPr>
              <w:t>5.4 SELECTION OF THE BEST SOLUTION</w:t>
            </w:r>
            <w:r>
              <w:rPr>
                <w:noProof/>
                <w:webHidden/>
              </w:rPr>
              <w:tab/>
            </w:r>
            <w:r>
              <w:rPr>
                <w:noProof/>
                <w:webHidden/>
              </w:rPr>
              <w:fldChar w:fldCharType="begin"/>
            </w:r>
            <w:r>
              <w:rPr>
                <w:noProof/>
                <w:webHidden/>
              </w:rPr>
              <w:instrText xml:space="preserve"> PAGEREF _Toc175583584 \h </w:instrText>
            </w:r>
            <w:r>
              <w:rPr>
                <w:noProof/>
                <w:webHidden/>
              </w:rPr>
            </w:r>
            <w:r>
              <w:rPr>
                <w:noProof/>
                <w:webHidden/>
              </w:rPr>
              <w:fldChar w:fldCharType="separate"/>
            </w:r>
            <w:r>
              <w:rPr>
                <w:noProof/>
                <w:webHidden/>
              </w:rPr>
              <w:t>12</w:t>
            </w:r>
            <w:r>
              <w:rPr>
                <w:noProof/>
                <w:webHidden/>
              </w:rPr>
              <w:fldChar w:fldCharType="end"/>
            </w:r>
          </w:hyperlink>
        </w:p>
        <w:p w14:paraId="21463D44" w14:textId="3BD8C2AC" w:rsidR="00BE1B43" w:rsidRDefault="00BE1B43">
          <w:pPr>
            <w:pStyle w:val="TOC1"/>
            <w:tabs>
              <w:tab w:val="left" w:pos="720"/>
              <w:tab w:val="right" w:leader="dot" w:pos="9016"/>
            </w:tabs>
            <w:rPr>
              <w:rFonts w:eastAsiaTheme="minorEastAsia"/>
              <w:noProof/>
              <w:lang w:eastAsia="en-ZA"/>
            </w:rPr>
          </w:pPr>
          <w:hyperlink w:anchor="_Toc175583585" w:history="1">
            <w:r w:rsidRPr="00695B23">
              <w:rPr>
                <w:rStyle w:val="Hyperlink"/>
                <w:rFonts w:ascii="Arial" w:hAnsi="Arial" w:cs="Arial"/>
                <w:noProof/>
                <w:highlight w:val="yellow"/>
              </w:rPr>
              <w:t>5.5</w:t>
            </w:r>
            <w:r>
              <w:rPr>
                <w:rFonts w:eastAsiaTheme="minorEastAsia"/>
                <w:noProof/>
                <w:lang w:eastAsia="en-ZA"/>
              </w:rPr>
              <w:tab/>
            </w:r>
            <w:r w:rsidRPr="00695B23">
              <w:rPr>
                <w:rStyle w:val="Hyperlink"/>
                <w:rFonts w:ascii="Arial" w:hAnsi="Arial" w:cs="Arial"/>
                <w:noProof/>
                <w:highlight w:val="yellow"/>
              </w:rPr>
              <w:t>IMPLEMENTATION OF THE SOLUTION</w:t>
            </w:r>
            <w:r>
              <w:rPr>
                <w:noProof/>
                <w:webHidden/>
              </w:rPr>
              <w:tab/>
            </w:r>
            <w:r>
              <w:rPr>
                <w:noProof/>
                <w:webHidden/>
              </w:rPr>
              <w:fldChar w:fldCharType="begin"/>
            </w:r>
            <w:r>
              <w:rPr>
                <w:noProof/>
                <w:webHidden/>
              </w:rPr>
              <w:instrText xml:space="preserve"> PAGEREF _Toc175583585 \h </w:instrText>
            </w:r>
            <w:r>
              <w:rPr>
                <w:noProof/>
                <w:webHidden/>
              </w:rPr>
            </w:r>
            <w:r>
              <w:rPr>
                <w:noProof/>
                <w:webHidden/>
              </w:rPr>
              <w:fldChar w:fldCharType="separate"/>
            </w:r>
            <w:r>
              <w:rPr>
                <w:noProof/>
                <w:webHidden/>
              </w:rPr>
              <w:t>12</w:t>
            </w:r>
            <w:r>
              <w:rPr>
                <w:noProof/>
                <w:webHidden/>
              </w:rPr>
              <w:fldChar w:fldCharType="end"/>
            </w:r>
          </w:hyperlink>
        </w:p>
        <w:p w14:paraId="1EA91D71" w14:textId="62C8FD4C" w:rsidR="00BE1B43" w:rsidRDefault="00BE1B43">
          <w:pPr>
            <w:pStyle w:val="TOC1"/>
            <w:tabs>
              <w:tab w:val="left" w:pos="720"/>
              <w:tab w:val="right" w:leader="dot" w:pos="9016"/>
            </w:tabs>
            <w:rPr>
              <w:rFonts w:eastAsiaTheme="minorEastAsia"/>
              <w:noProof/>
              <w:lang w:eastAsia="en-ZA"/>
            </w:rPr>
          </w:pPr>
          <w:hyperlink w:anchor="_Toc175583586" w:history="1">
            <w:r w:rsidRPr="00695B23">
              <w:rPr>
                <w:rStyle w:val="Hyperlink"/>
                <w:rFonts w:ascii="Arial" w:hAnsi="Arial" w:cs="Arial"/>
                <w:noProof/>
                <w:highlight w:val="yellow"/>
              </w:rPr>
              <w:t>5.6</w:t>
            </w:r>
            <w:r>
              <w:rPr>
                <w:rFonts w:eastAsiaTheme="minorEastAsia"/>
                <w:noProof/>
                <w:lang w:eastAsia="en-ZA"/>
              </w:rPr>
              <w:tab/>
            </w:r>
            <w:r w:rsidRPr="00695B23">
              <w:rPr>
                <w:rStyle w:val="Hyperlink"/>
                <w:rFonts w:ascii="Arial" w:hAnsi="Arial" w:cs="Arial"/>
                <w:noProof/>
                <w:highlight w:val="yellow"/>
              </w:rPr>
              <w:t>EVALUATION</w:t>
            </w:r>
            <w:r>
              <w:rPr>
                <w:noProof/>
                <w:webHidden/>
              </w:rPr>
              <w:tab/>
            </w:r>
            <w:r>
              <w:rPr>
                <w:noProof/>
                <w:webHidden/>
              </w:rPr>
              <w:fldChar w:fldCharType="begin"/>
            </w:r>
            <w:r>
              <w:rPr>
                <w:noProof/>
                <w:webHidden/>
              </w:rPr>
              <w:instrText xml:space="preserve"> PAGEREF _Toc175583586 \h </w:instrText>
            </w:r>
            <w:r>
              <w:rPr>
                <w:noProof/>
                <w:webHidden/>
              </w:rPr>
            </w:r>
            <w:r>
              <w:rPr>
                <w:noProof/>
                <w:webHidden/>
              </w:rPr>
              <w:fldChar w:fldCharType="separate"/>
            </w:r>
            <w:r>
              <w:rPr>
                <w:noProof/>
                <w:webHidden/>
              </w:rPr>
              <w:t>12</w:t>
            </w:r>
            <w:r>
              <w:rPr>
                <w:noProof/>
                <w:webHidden/>
              </w:rPr>
              <w:fldChar w:fldCharType="end"/>
            </w:r>
          </w:hyperlink>
        </w:p>
        <w:p w14:paraId="58DB3351" w14:textId="16AFBDA8" w:rsidR="00BE1B43" w:rsidRDefault="00BE1B43">
          <w:pPr>
            <w:pStyle w:val="TOC1"/>
            <w:tabs>
              <w:tab w:val="right" w:leader="dot" w:pos="9016"/>
            </w:tabs>
            <w:rPr>
              <w:rFonts w:eastAsiaTheme="minorEastAsia"/>
              <w:noProof/>
              <w:lang w:eastAsia="en-ZA"/>
            </w:rPr>
          </w:pPr>
          <w:hyperlink w:anchor="_Toc175583587" w:history="1">
            <w:r w:rsidRPr="00695B23">
              <w:rPr>
                <w:rStyle w:val="Hyperlink"/>
                <w:rFonts w:ascii="Arial" w:hAnsi="Arial" w:cs="Arial"/>
                <w:noProof/>
                <w:highlight w:val="yellow"/>
                <w:lang w:val="en-US"/>
              </w:rPr>
              <w:t>6.IMPACT</w:t>
            </w:r>
            <w:r>
              <w:rPr>
                <w:noProof/>
                <w:webHidden/>
              </w:rPr>
              <w:tab/>
            </w:r>
            <w:r>
              <w:rPr>
                <w:noProof/>
                <w:webHidden/>
              </w:rPr>
              <w:fldChar w:fldCharType="begin"/>
            </w:r>
            <w:r>
              <w:rPr>
                <w:noProof/>
                <w:webHidden/>
              </w:rPr>
              <w:instrText xml:space="preserve"> PAGEREF _Toc175583587 \h </w:instrText>
            </w:r>
            <w:r>
              <w:rPr>
                <w:noProof/>
                <w:webHidden/>
              </w:rPr>
            </w:r>
            <w:r>
              <w:rPr>
                <w:noProof/>
                <w:webHidden/>
              </w:rPr>
              <w:fldChar w:fldCharType="separate"/>
            </w:r>
            <w:r>
              <w:rPr>
                <w:noProof/>
                <w:webHidden/>
              </w:rPr>
              <w:t>12</w:t>
            </w:r>
            <w:r>
              <w:rPr>
                <w:noProof/>
                <w:webHidden/>
              </w:rPr>
              <w:fldChar w:fldCharType="end"/>
            </w:r>
          </w:hyperlink>
        </w:p>
        <w:p w14:paraId="6C4C9E43" w14:textId="43D4C052" w:rsidR="00BE1B43" w:rsidRDefault="00BE1B43">
          <w:pPr>
            <w:pStyle w:val="TOC1"/>
            <w:tabs>
              <w:tab w:val="right" w:leader="dot" w:pos="9016"/>
            </w:tabs>
            <w:rPr>
              <w:rFonts w:eastAsiaTheme="minorEastAsia"/>
              <w:noProof/>
              <w:lang w:eastAsia="en-ZA"/>
            </w:rPr>
          </w:pPr>
          <w:hyperlink w:anchor="_Toc175583588" w:history="1">
            <w:r w:rsidRPr="00695B23">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_Toc175583588 \h </w:instrText>
            </w:r>
            <w:r>
              <w:rPr>
                <w:noProof/>
                <w:webHidden/>
              </w:rPr>
            </w:r>
            <w:r>
              <w:rPr>
                <w:noProof/>
                <w:webHidden/>
              </w:rPr>
              <w:fldChar w:fldCharType="separate"/>
            </w:r>
            <w:r>
              <w:rPr>
                <w:noProof/>
                <w:webHidden/>
              </w:rPr>
              <w:t>13</w:t>
            </w:r>
            <w:r>
              <w:rPr>
                <w:noProof/>
                <w:webHidden/>
              </w:rPr>
              <w:fldChar w:fldCharType="end"/>
            </w:r>
          </w:hyperlink>
        </w:p>
        <w:p w14:paraId="52606980" w14:textId="626C018C" w:rsidR="00BE1B43" w:rsidRDefault="00BE1B43">
          <w:pPr>
            <w:pStyle w:val="TOC1"/>
            <w:tabs>
              <w:tab w:val="right" w:leader="dot" w:pos="9016"/>
            </w:tabs>
            <w:rPr>
              <w:rFonts w:eastAsiaTheme="minorEastAsia"/>
              <w:noProof/>
              <w:lang w:eastAsia="en-ZA"/>
            </w:rPr>
          </w:pPr>
          <w:hyperlink w:anchor="_Toc175583589" w:history="1">
            <w:r w:rsidRPr="00695B23">
              <w:rPr>
                <w:rStyle w:val="Hyperlink"/>
                <w:noProof/>
              </w:rPr>
              <w:t>References</w:t>
            </w:r>
            <w:r>
              <w:rPr>
                <w:noProof/>
                <w:webHidden/>
              </w:rPr>
              <w:tab/>
            </w:r>
            <w:r>
              <w:rPr>
                <w:noProof/>
                <w:webHidden/>
              </w:rPr>
              <w:fldChar w:fldCharType="begin"/>
            </w:r>
            <w:r>
              <w:rPr>
                <w:noProof/>
                <w:webHidden/>
              </w:rPr>
              <w:instrText xml:space="preserve"> PAGEREF _Toc175583589 \h </w:instrText>
            </w:r>
            <w:r>
              <w:rPr>
                <w:noProof/>
                <w:webHidden/>
              </w:rPr>
            </w:r>
            <w:r>
              <w:rPr>
                <w:noProof/>
                <w:webHidden/>
              </w:rPr>
              <w:fldChar w:fldCharType="separate"/>
            </w:r>
            <w:r>
              <w:rPr>
                <w:noProof/>
                <w:webHidden/>
              </w:rPr>
              <w:t>14</w:t>
            </w:r>
            <w:r>
              <w:rPr>
                <w:noProof/>
                <w:webHidden/>
              </w:rPr>
              <w:fldChar w:fldCharType="end"/>
            </w:r>
          </w:hyperlink>
        </w:p>
        <w:p w14:paraId="1097334F" w14:textId="64843DD6" w:rsidR="00BE1B43" w:rsidRDefault="00BE1B43">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3" w:name="_Toc164344143"/>
      <w:bookmarkStart w:id="4" w:name="_Toc166867560"/>
      <w:bookmarkStart w:id="5" w:name="_Toc175583576"/>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3"/>
      <w:bookmarkEnd w:id="4"/>
      <w:bookmarkEnd w:id="5"/>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6" w:name="_Toc166867559"/>
      <w:bookmarkStart w:id="7" w:name="_Toc175583577"/>
      <w:r>
        <w:rPr>
          <w:rFonts w:ascii="Arial" w:hAnsi="Arial" w:cs="Arial"/>
        </w:rPr>
        <w:t>2</w:t>
      </w:r>
      <w:r>
        <w:rPr>
          <w:rFonts w:ascii="Arial" w:hAnsi="Arial" w:cs="Arial"/>
        </w:rPr>
        <w:t>.</w:t>
      </w:r>
      <w:r w:rsidRPr="008C26B5">
        <w:rPr>
          <w:rFonts w:ascii="Arial" w:hAnsi="Arial" w:cs="Arial"/>
        </w:rPr>
        <w:t>INTRODUCTION</w:t>
      </w:r>
      <w:bookmarkEnd w:id="6"/>
      <w:bookmarkEnd w:id="7"/>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Cancer misdiagnosis may occur at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w:t>
      </w:r>
    </w:p>
    <w:p w14:paraId="636A2A6A" w14:textId="77777777" w:rsidR="00412CDC" w:rsidRPr="00715D9B" w:rsidRDefault="00412CDC" w:rsidP="00412CDC">
      <w:pPr>
        <w:ind w:left="646" w:right="646"/>
        <w:jc w:val="both"/>
        <w:rPr>
          <w:rFonts w:ascii="Arial" w:hAnsi="Arial" w:cs="Arial"/>
          <w:lang w:val="en-US"/>
        </w:rPr>
      </w:pPr>
      <w:r w:rsidRPr="00715D9B">
        <w:rPr>
          <w:rFonts w:ascii="Arial" w:hAnsi="Arial" w:cs="Arial"/>
        </w:rPr>
        <w:lastRenderedPageBreak/>
        <w:t xml:space="preserve">Our topic is about </w:t>
      </w:r>
      <w:r w:rsidRPr="00715D9B">
        <w:rPr>
          <w:rFonts w:ascii="Arial" w:hAnsi="Arial" w:cs="Arial"/>
          <w:lang w:val="en-US"/>
        </w:rPr>
        <w:t xml:space="preserve">designing a clinical decision support system (CDSS) directed towards cancer patients, with adherence to Evidence-Based Medicine guidelines.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15D9B">
        <w:rPr>
          <w:rFonts w:ascii="Arial" w:hAnsi="Arial" w:cs="Arial"/>
        </w:rPr>
        <w:t xml:space="preserve">The following aspects are discussed in the report below, </w:t>
      </w:r>
      <w:r w:rsidRPr="00715D9B">
        <w:rPr>
          <w:rFonts w:ascii="Arial" w:hAnsi="Arial" w:cs="Arial"/>
          <w:lang w:val="en-US"/>
        </w:rPr>
        <w:t>quality standards applicable to the project, identification of the problem including factors that contribute to the problem, and clarification of the most important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8" w:name="_Toc164344144"/>
      <w:bookmarkStart w:id="9" w:name="_Toc166867561"/>
      <w:bookmarkStart w:id="10" w:name="_Hlk165118508"/>
      <w:bookmarkStart w:id="11" w:name="_Toc164344145"/>
      <w:bookmarkStart w:id="12" w:name="_Toc175583578"/>
      <w:r>
        <w:rPr>
          <w:rFonts w:ascii="Arial" w:hAnsi="Arial" w:cs="Arial"/>
        </w:rPr>
        <w:t>3.QUALITY STANDARD(S) APPLICABLE TO REPORT / PROJECT</w:t>
      </w:r>
      <w:bookmarkEnd w:id="8"/>
      <w:bookmarkEnd w:id="9"/>
      <w:bookmarkEnd w:id="12"/>
    </w:p>
    <w:p w14:paraId="0476E304" w14:textId="77777777" w:rsidR="004C40C7" w:rsidRPr="00C35CFC" w:rsidRDefault="004C40C7" w:rsidP="004C40C7">
      <w:pPr>
        <w:ind w:left="646" w:right="646"/>
        <w:jc w:val="both"/>
        <w:rPr>
          <w:rFonts w:ascii="Arial" w:hAnsi="Arial" w:cs="Arial"/>
        </w:rPr>
      </w:pPr>
      <w:r w:rsidRPr="00C35CFC">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Pr="00C35CFC">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77777777"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77777777"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77777777" w:rsidR="004C40C7" w:rsidRPr="00C35CFC" w:rsidRDefault="004C40C7" w:rsidP="004C40C7">
      <w:pPr>
        <w:ind w:left="646" w:right="646"/>
        <w:jc w:val="both"/>
        <w:rPr>
          <w:rFonts w:ascii="Arial" w:hAnsi="Arial" w:cs="Arial"/>
        </w:rPr>
      </w:pPr>
      <w:r w:rsidRPr="00C35CFC">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77777777" w:rsidR="004C40C7" w:rsidRDefault="004C40C7" w:rsidP="006B2CEA">
            <w:pPr>
              <w:ind w:left="646" w:right="646"/>
              <w:jc w:val="both"/>
              <w:rPr>
                <w:b/>
                <w:bCs/>
                <w:color w:val="E97132" w:themeColor="accent2"/>
                <w:sz w:val="36"/>
                <w:szCs w:val="36"/>
              </w:rPr>
            </w:pPr>
            <w:r>
              <w:rPr>
                <w:b/>
                <w:bCs/>
                <w:color w:val="E97132" w:themeColor="accent2"/>
                <w:sz w:val="36"/>
                <w:szCs w:val="36"/>
              </w:rPr>
              <w:t>South African Cancer Control Timeline Summarized</w:t>
            </w:r>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77777777" w:rsidR="004C40C7" w:rsidRDefault="004C40C7" w:rsidP="006B2CEA">
            <w:pPr>
              <w:ind w:left="646" w:right="646"/>
              <w:jc w:val="both"/>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77777777" w:rsidR="004C40C7" w:rsidRDefault="004C40C7" w:rsidP="006B2CEA">
            <w:pPr>
              <w:ind w:left="646" w:right="646"/>
              <w:jc w:val="both"/>
            </w:pPr>
            <w:r>
              <w:t>65,000 South African donors registered; access to 20 million global donors.</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7777777" w:rsidR="004C40C7" w:rsidRDefault="004C40C7" w:rsidP="006B2CEA">
            <w:pPr>
              <w:ind w:left="646" w:right="646"/>
              <w:jc w:val="both"/>
            </w:pPr>
            <w:r>
              <w:t>South Africa first country to regulate tobacco use and sales. SA joins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7777777" w:rsidR="004C40C7" w:rsidRDefault="004C40C7" w:rsidP="006B2CEA">
            <w:pPr>
              <w:ind w:left="646" w:right="646"/>
              <w:jc w:val="both"/>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77777777" w:rsidR="004C40C7" w:rsidRDefault="004C40C7" w:rsidP="006B2CEA">
            <w:pPr>
              <w:ind w:left="646" w:right="646"/>
              <w:jc w:val="both"/>
            </w:pPr>
            <w:r>
              <w:t>Cervical Cancer Policy 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77777777" w:rsidR="004C40C7" w:rsidRDefault="004C40C7" w:rsidP="006B2CEA">
            <w:pPr>
              <w:ind w:left="646" w:right="646"/>
              <w:jc w:val="both"/>
            </w:pPr>
            <w:r>
              <w:t>Commitment for policy finalization by March 2016, but no further developments.</w:t>
            </w:r>
          </w:p>
        </w:tc>
      </w:tr>
      <w:bookmarkEnd w:id="10"/>
    </w:tbl>
    <w:p w14:paraId="54416685" w14:textId="77777777" w:rsidR="004C40C7" w:rsidRDefault="004C40C7" w:rsidP="004C40C7">
      <w:pPr>
        <w:ind w:left="646" w:right="646"/>
        <w:jc w:val="both"/>
        <w:rPr>
          <w:rFonts w:ascii="Arial" w:hAnsi="Arial" w:cs="Arial"/>
          <w:i/>
          <w:iCs/>
          <w:sz w:val="22"/>
          <w:szCs w:val="22"/>
        </w:rPr>
      </w:pPr>
    </w:p>
    <w:p w14:paraId="6C06EC8E" w14:textId="77777777" w:rsidR="004C40C7" w:rsidRDefault="004C40C7" w:rsidP="004C40C7">
      <w:pPr>
        <w:ind w:left="646" w:right="646"/>
        <w:jc w:val="both"/>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bookmarkEnd w:id="11"/>
    </w:p>
    <w:p w14:paraId="60AE0788" w14:textId="77777777" w:rsidR="004C40C7" w:rsidRPr="00412CDC" w:rsidRDefault="004C40C7" w:rsidP="004C40C7">
      <w:pPr>
        <w:ind w:left="646"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3" w:name="_Toc166868085"/>
      <w:bookmarkStart w:id="14" w:name="_Toc175583579"/>
      <w:r>
        <w:rPr>
          <w:lang w:val="en-US"/>
        </w:rPr>
        <w:t>4</w:t>
      </w:r>
      <w:r w:rsidR="00ED7927" w:rsidRPr="004E509D">
        <w:rPr>
          <w:lang w:val="en-US"/>
        </w:rPr>
        <w:t>.THE PROBLEM NOTED</w:t>
      </w:r>
      <w:bookmarkEnd w:id="13"/>
      <w:bookmarkEnd w:id="14"/>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4.2 Root Cause Analysis:</w:t>
      </w:r>
    </w:p>
    <w:p w14:paraId="7BAAB65C" w14:textId="77777777" w:rsidR="00ED7927" w:rsidRPr="004E509D" w:rsidRDefault="00ED7927" w:rsidP="00ED7927">
      <w:pPr>
        <w:numPr>
          <w:ilvl w:val="0"/>
          <w:numId w:val="10"/>
        </w:numPr>
        <w:ind w:left="646" w:right="646"/>
        <w:jc w:val="both"/>
        <w:rPr>
          <w:rFonts w:ascii="Arial" w:hAnsi="Arial" w:cs="Arial"/>
          <w:lang w:val="en-US"/>
        </w:rPr>
      </w:pPr>
      <w:r w:rsidRPr="004E509D">
        <w:rPr>
          <w:rFonts w:ascii="Arial" w:hAnsi="Arial" w:cs="Arial"/>
          <w:b/>
          <w:bCs/>
          <w:u w:val="single"/>
          <w:lang w:val="en-US"/>
        </w:rPr>
        <w:t>Identify the problem</w:t>
      </w:r>
      <w:r w:rsidRPr="004E509D">
        <w:rPr>
          <w:rFonts w:ascii="Arial" w:hAnsi="Arial" w:cs="Arial"/>
          <w:lang w:val="en-US"/>
        </w:rPr>
        <w:t>: Delay in diagnosing cancer in a patient.</w:t>
      </w:r>
    </w:p>
    <w:p w14:paraId="5F22EC7E" w14:textId="77777777" w:rsidR="00ED7927" w:rsidRPr="004E509D" w:rsidRDefault="00ED7927" w:rsidP="00ED7927">
      <w:pPr>
        <w:numPr>
          <w:ilvl w:val="0"/>
          <w:numId w:val="10"/>
        </w:numPr>
        <w:ind w:left="646" w:right="646"/>
        <w:jc w:val="both"/>
        <w:rPr>
          <w:rFonts w:ascii="Arial" w:hAnsi="Arial" w:cs="Arial"/>
          <w:lang w:val="en-US"/>
        </w:rPr>
      </w:pPr>
      <w:r w:rsidRPr="004E509D">
        <w:rPr>
          <w:rFonts w:ascii="Arial" w:hAnsi="Arial" w:cs="Arial"/>
          <w:b/>
          <w:bCs/>
          <w:u w:val="single"/>
          <w:lang w:val="en-US"/>
        </w:rPr>
        <w:lastRenderedPageBreak/>
        <w:t>Identify Causal Factors</w:t>
      </w:r>
      <w:r w:rsidRPr="004E509D">
        <w:rPr>
          <w:rFonts w:ascii="Arial" w:hAnsi="Arial" w:cs="Arial"/>
          <w:lang w:val="en-US"/>
        </w:rPr>
        <w:t xml:space="preserve">: Determine the underlying causes of delays, such as healthcare system issues, patient-related factors, or healthcare provider-related factors. </w:t>
      </w:r>
    </w:p>
    <w:p w14:paraId="59D78E64" w14:textId="77777777" w:rsidR="00ED7927" w:rsidRPr="004E509D" w:rsidRDefault="00ED7927" w:rsidP="00ED7927">
      <w:pPr>
        <w:numPr>
          <w:ilvl w:val="0"/>
          <w:numId w:val="10"/>
        </w:numPr>
        <w:ind w:left="646" w:right="646"/>
        <w:jc w:val="both"/>
        <w:rPr>
          <w:rFonts w:ascii="Arial" w:hAnsi="Arial" w:cs="Arial"/>
          <w:b/>
          <w:bCs/>
          <w:lang w:val="en-US"/>
        </w:rPr>
      </w:pPr>
      <w:r w:rsidRPr="004E509D">
        <w:rPr>
          <w:rFonts w:ascii="Arial" w:hAnsi="Arial" w:cs="Arial"/>
          <w:b/>
          <w:bCs/>
          <w:lang w:val="en-US"/>
        </w:rPr>
        <w:t xml:space="preserve">Healthcare System Issues: </w:t>
      </w:r>
    </w:p>
    <w:p w14:paraId="3D7E6C64" w14:textId="77777777" w:rsidR="00ED7927" w:rsidRPr="004E509D" w:rsidRDefault="00ED7927" w:rsidP="00ED7927">
      <w:pPr>
        <w:numPr>
          <w:ilvl w:val="0"/>
          <w:numId w:val="11"/>
        </w:numPr>
        <w:ind w:left="646" w:right="646"/>
        <w:jc w:val="both"/>
        <w:rPr>
          <w:rFonts w:ascii="Arial" w:hAnsi="Arial" w:cs="Arial"/>
          <w:lang w:val="en-US"/>
        </w:rPr>
      </w:pPr>
      <w:r w:rsidRPr="004E509D">
        <w:rPr>
          <w:rFonts w:ascii="Arial" w:hAnsi="Arial" w:cs="Arial"/>
          <w:lang w:val="en-US"/>
        </w:rPr>
        <w:t xml:space="preserve">Analyze scheduling and referral processes to identify bottlenecks. </w:t>
      </w:r>
    </w:p>
    <w:p w14:paraId="36111EE8" w14:textId="77777777" w:rsidR="00ED7927" w:rsidRPr="004E509D" w:rsidRDefault="00ED7927" w:rsidP="00ED7927">
      <w:pPr>
        <w:numPr>
          <w:ilvl w:val="0"/>
          <w:numId w:val="11"/>
        </w:numPr>
        <w:ind w:left="646" w:right="646"/>
        <w:jc w:val="both"/>
        <w:rPr>
          <w:rFonts w:ascii="Arial" w:hAnsi="Arial" w:cs="Arial"/>
          <w:lang w:val="en-US"/>
        </w:rPr>
      </w:pPr>
      <w:r w:rsidRPr="004E509D">
        <w:rPr>
          <w:rFonts w:ascii="Arial" w:hAnsi="Arial" w:cs="Arial"/>
          <w:lang w:val="en-US"/>
        </w:rPr>
        <w:t>Evaluate the availability and capacity of diagnostic facilities and personnel.</w:t>
      </w:r>
    </w:p>
    <w:p w14:paraId="49DB774F" w14:textId="77777777" w:rsidR="00ED7927" w:rsidRPr="004E509D" w:rsidRDefault="00ED7927" w:rsidP="00ED7927">
      <w:pPr>
        <w:numPr>
          <w:ilvl w:val="0"/>
          <w:numId w:val="10"/>
        </w:numPr>
        <w:ind w:left="646" w:right="646"/>
        <w:jc w:val="both"/>
        <w:rPr>
          <w:rFonts w:ascii="Arial" w:hAnsi="Arial" w:cs="Arial"/>
          <w:b/>
          <w:bCs/>
          <w:lang w:val="en-US"/>
        </w:rPr>
      </w:pPr>
      <w:r w:rsidRPr="004E509D">
        <w:rPr>
          <w:rFonts w:ascii="Arial" w:hAnsi="Arial" w:cs="Arial"/>
          <w:b/>
          <w:bCs/>
          <w:lang w:val="en-US"/>
        </w:rPr>
        <w:t>Patient-Related Factors:</w:t>
      </w:r>
    </w:p>
    <w:p w14:paraId="037CE10D" w14:textId="77777777" w:rsidR="00ED7927" w:rsidRPr="004E509D" w:rsidRDefault="00ED7927" w:rsidP="00ED7927">
      <w:pPr>
        <w:numPr>
          <w:ilvl w:val="0"/>
          <w:numId w:val="12"/>
        </w:numPr>
        <w:ind w:left="646" w:right="646"/>
        <w:jc w:val="both"/>
        <w:rPr>
          <w:rFonts w:ascii="Arial" w:hAnsi="Arial" w:cs="Arial"/>
          <w:lang w:val="en-US"/>
        </w:rPr>
      </w:pPr>
      <w:r w:rsidRPr="004E509D">
        <w:rPr>
          <w:rFonts w:ascii="Arial" w:hAnsi="Arial" w:cs="Arial"/>
          <w:lang w:val="en-US"/>
        </w:rPr>
        <w:t xml:space="preserve">Conduct surveys and focus groups to understand patient knowledge, attitudes, and </w:t>
      </w:r>
      <w:proofErr w:type="spellStart"/>
      <w:r w:rsidRPr="004E509D">
        <w:rPr>
          <w:rFonts w:ascii="Arial" w:hAnsi="Arial" w:cs="Arial"/>
          <w:lang w:val="en-US"/>
        </w:rPr>
        <w:t>behaviours</w:t>
      </w:r>
      <w:proofErr w:type="spellEnd"/>
      <w:r w:rsidRPr="004E509D">
        <w:rPr>
          <w:rFonts w:ascii="Arial" w:hAnsi="Arial" w:cs="Arial"/>
          <w:lang w:val="en-US"/>
        </w:rPr>
        <w:t xml:space="preserve"> regarding symptom reporting and healthcare utilization.</w:t>
      </w:r>
    </w:p>
    <w:p w14:paraId="68D270E8" w14:textId="77777777" w:rsidR="00ED7927" w:rsidRPr="004E509D" w:rsidRDefault="00ED7927" w:rsidP="00ED7927">
      <w:pPr>
        <w:numPr>
          <w:ilvl w:val="0"/>
          <w:numId w:val="12"/>
        </w:numPr>
        <w:ind w:left="646" w:right="646"/>
        <w:jc w:val="both"/>
        <w:rPr>
          <w:rFonts w:ascii="Arial" w:hAnsi="Arial" w:cs="Arial"/>
          <w:lang w:val="en-US"/>
        </w:rPr>
      </w:pPr>
      <w:r w:rsidRPr="004E509D">
        <w:rPr>
          <w:rFonts w:ascii="Arial" w:hAnsi="Arial" w:cs="Arial"/>
          <w:lang w:val="en-US"/>
        </w:rPr>
        <w:t>Assess socioeconomic barriers such as transportation, insurance coverage, and access to primary care.</w:t>
      </w:r>
    </w:p>
    <w:p w14:paraId="6C427588" w14:textId="77777777" w:rsidR="00ED7927" w:rsidRPr="004E509D" w:rsidRDefault="00ED7927" w:rsidP="00ED7927">
      <w:pPr>
        <w:numPr>
          <w:ilvl w:val="0"/>
          <w:numId w:val="12"/>
        </w:numPr>
        <w:ind w:left="646" w:right="646"/>
        <w:jc w:val="both"/>
        <w:rPr>
          <w:rFonts w:ascii="Arial" w:hAnsi="Arial" w:cs="Arial"/>
          <w:lang w:val="en-US"/>
        </w:rPr>
      </w:pPr>
      <w:r w:rsidRPr="004E509D">
        <w:rPr>
          <w:rFonts w:ascii="Arial" w:hAnsi="Arial" w:cs="Arial"/>
          <w:lang w:val="en-US"/>
        </w:rPr>
        <w:t>Evaluation of medical institution documents regarding scheduling and timing of appointments and tests.</w:t>
      </w:r>
    </w:p>
    <w:p w14:paraId="4CA3C8E8" w14:textId="77777777" w:rsidR="00ED7927" w:rsidRPr="004E509D" w:rsidRDefault="00ED7927" w:rsidP="00ED7927">
      <w:pPr>
        <w:numPr>
          <w:ilvl w:val="0"/>
          <w:numId w:val="12"/>
        </w:numPr>
        <w:ind w:left="646" w:right="646"/>
        <w:jc w:val="both"/>
        <w:rPr>
          <w:rFonts w:ascii="Arial" w:hAnsi="Arial" w:cs="Arial"/>
          <w:lang w:val="en-US"/>
        </w:rPr>
      </w:pPr>
      <w:r w:rsidRPr="004E509D">
        <w:rPr>
          <w:rFonts w:ascii="Arial" w:hAnsi="Arial" w:cs="Arial"/>
          <w:lang w:val="en-US"/>
        </w:rPr>
        <w:t>Having interviews and distributing questionnaires to patients, healthcare providers, and administrators.</w:t>
      </w:r>
    </w:p>
    <w:p w14:paraId="425F58B4" w14:textId="77777777" w:rsidR="00ED7927" w:rsidRPr="004E509D" w:rsidRDefault="00ED7927" w:rsidP="00ED7927">
      <w:pPr>
        <w:numPr>
          <w:ilvl w:val="0"/>
          <w:numId w:val="12"/>
        </w:numPr>
        <w:ind w:left="646" w:right="646"/>
        <w:jc w:val="both"/>
        <w:rPr>
          <w:rFonts w:ascii="Arial" w:hAnsi="Arial" w:cs="Arial"/>
          <w:lang w:val="en-US"/>
        </w:rPr>
      </w:pPr>
      <w:r w:rsidRPr="004E509D">
        <w:rPr>
          <w:rFonts w:ascii="Arial" w:hAnsi="Arial" w:cs="Arial"/>
          <w:lang w:val="en-US"/>
        </w:rPr>
        <w:t>Statistical examination of patient results linked to timing of diagnosis.</w:t>
      </w:r>
    </w:p>
    <w:p w14:paraId="5EDAC4DC"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4.3 Develop Solutions</w:t>
      </w:r>
      <w:r w:rsidRPr="004E509D">
        <w:rPr>
          <w:rFonts w:ascii="Arial" w:hAnsi="Arial" w:cs="Arial"/>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4E509D">
        <w:rPr>
          <w:rFonts w:ascii="Arial" w:hAnsi="Arial" w:cs="Arial"/>
          <w:lang w:val="en-US"/>
        </w:rPr>
        <w:t>have</w:t>
      </w:r>
      <w:proofErr w:type="gramEnd"/>
      <w:r w:rsidRPr="004E509D">
        <w:rPr>
          <w:rFonts w:ascii="Arial" w:hAnsi="Arial" w:cs="Arial"/>
          <w:lang w:val="en-US"/>
        </w:rPr>
        <w:t xml:space="preserve"> about the cancer.</w:t>
      </w:r>
    </w:p>
    <w:p w14:paraId="09BF131A"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4.4 Implement Solutions</w:t>
      </w:r>
      <w:r w:rsidRPr="004E509D">
        <w:rPr>
          <w:rFonts w:ascii="Arial" w:hAnsi="Arial" w:cs="Arial"/>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4E509D">
        <w:rPr>
          <w:rFonts w:ascii="Arial" w:hAnsi="Arial" w:cs="Arial"/>
          <w:b/>
          <w:bCs/>
          <w:u w:val="single"/>
          <w:lang w:val="en-US"/>
        </w:rPr>
        <w:t>4.5 Evaluate Outcomes:</w:t>
      </w:r>
      <w:r w:rsidRPr="004E509D">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4E509D">
            <w:rPr>
              <w:rFonts w:ascii="Arial" w:hAnsi="Arial" w:cs="Arial"/>
              <w:lang w:val="en-US"/>
            </w:rPr>
            <w:fldChar w:fldCharType="begin"/>
          </w:r>
          <w:r w:rsidRPr="004E509D">
            <w:rPr>
              <w:rFonts w:ascii="Arial" w:hAnsi="Arial" w:cs="Arial"/>
              <w:lang w:val="en-US"/>
            </w:rPr>
            <w:instrText xml:space="preserve"> CITATION Bro \l 1033 </w:instrText>
          </w:r>
          <w:r w:rsidRPr="004E509D">
            <w:rPr>
              <w:rFonts w:ascii="Arial" w:hAnsi="Arial" w:cs="Arial"/>
              <w:lang w:val="en-US"/>
            </w:rPr>
            <w:fldChar w:fldCharType="separate"/>
          </w:r>
          <w:r w:rsidRPr="004E509D">
            <w:rPr>
              <w:rFonts w:ascii="Arial" w:hAnsi="Arial" w:cs="Arial"/>
              <w:lang w:val="en-US"/>
            </w:rPr>
            <w:t xml:space="preserve"> (Brown &amp; Johnson, 2022)</w:t>
          </w:r>
          <w:r w:rsidRPr="004E509D">
            <w:rPr>
              <w:rFonts w:ascii="Arial" w:hAnsi="Arial" w:cs="Arial"/>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2EE20D44" w:rsidR="00ED7927" w:rsidRPr="00ED7927" w:rsidRDefault="004C40C7" w:rsidP="00ED7927">
      <w:pPr>
        <w:pStyle w:val="Heading1"/>
        <w:ind w:left="646" w:right="646"/>
        <w:jc w:val="both"/>
        <w:rPr>
          <w:rFonts w:ascii="Arial" w:hAnsi="Arial" w:cs="Arial"/>
        </w:rPr>
      </w:pPr>
      <w:bookmarkStart w:id="15" w:name="_Toc175583580"/>
      <w:r>
        <w:rPr>
          <w:rFonts w:ascii="Arial" w:hAnsi="Arial" w:cs="Arial"/>
        </w:rPr>
        <w:t>5</w:t>
      </w:r>
      <w:r w:rsidR="00ED7927">
        <w:rPr>
          <w:rFonts w:ascii="Arial" w:hAnsi="Arial" w:cs="Arial"/>
        </w:rPr>
        <w:t>.</w:t>
      </w:r>
      <w:r w:rsidR="00ED7927">
        <w:rPr>
          <w:rFonts w:ascii="Arial" w:hAnsi="Arial" w:cs="Arial"/>
        </w:rPr>
        <w:t>MANAGEMENT STRATEGY</w:t>
      </w:r>
      <w:bookmarkEnd w:id="15"/>
    </w:p>
    <w:p w14:paraId="564C7A29" w14:textId="424B519A" w:rsidR="00ED7927" w:rsidRPr="001867E8" w:rsidRDefault="004C40C7" w:rsidP="00ED7927">
      <w:pPr>
        <w:pStyle w:val="Heading1"/>
        <w:ind w:left="646" w:right="646"/>
        <w:jc w:val="both"/>
        <w:rPr>
          <w:rFonts w:ascii="Arial" w:hAnsi="Arial" w:cs="Arial"/>
        </w:rPr>
      </w:pPr>
      <w:bookmarkStart w:id="16" w:name="_Toc175583581"/>
      <w:r>
        <w:rPr>
          <w:rFonts w:ascii="Arial" w:hAnsi="Arial" w:cs="Arial"/>
        </w:rPr>
        <w:t>5</w:t>
      </w:r>
      <w:r w:rsidR="00ED7927">
        <w:rPr>
          <w:rFonts w:ascii="Arial" w:hAnsi="Arial" w:cs="Arial"/>
        </w:rPr>
        <w:t>.</w:t>
      </w:r>
      <w:r w:rsidR="00ED7927">
        <w:rPr>
          <w:rFonts w:ascii="Arial" w:hAnsi="Arial" w:cs="Arial"/>
        </w:rPr>
        <w:t>1</w:t>
      </w:r>
      <w:r w:rsidR="00ED7927" w:rsidRPr="001867E8">
        <w:rPr>
          <w:rFonts w:ascii="Arial" w:hAnsi="Arial" w:cs="Arial"/>
        </w:rPr>
        <w:t>THE AIM (GOAL) OF THE PROJECT</w:t>
      </w:r>
      <w:bookmarkEnd w:id="16"/>
    </w:p>
    <w:p w14:paraId="4EF76770" w14:textId="77777777" w:rsidR="00ED7927" w:rsidRPr="004E509D" w:rsidRDefault="00ED7927" w:rsidP="00ED7927">
      <w:pPr>
        <w:ind w:left="646" w:right="646"/>
        <w:jc w:val="both"/>
        <w:rPr>
          <w:rFonts w:ascii="Arial" w:hAnsi="Arial" w:cs="Arial"/>
        </w:rPr>
      </w:pPr>
      <w:r w:rsidRPr="004E509D">
        <w:rPr>
          <w:rFonts w:ascii="Arial" w:hAnsi="Arial" w:cs="Arial"/>
        </w:rPr>
        <w:t xml:space="preserve">In response to the pressing issue of delayed cancer diagnosis and its detrimental impact on patient outcomes, this project aims to implement a Clinical Decision Support System (CDSS). Cancer misdiagnosis, which </w:t>
      </w:r>
      <w:r w:rsidRPr="004E509D">
        <w:rPr>
          <w:rFonts w:ascii="Arial" w:hAnsi="Arial" w:cs="Arial"/>
        </w:rPr>
        <w:lastRenderedPageBreak/>
        <w:t>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 xml:space="preserve">SPECIFIC: </w:t>
      </w:r>
      <w:r w:rsidRPr="004E509D">
        <w:rPr>
          <w:rFonts w:ascii="Arial" w:hAnsi="Arial" w:cs="Arial"/>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The objective can be achieved through the implementation of a CDSS, specifically designed for cancer patients, which will streamline the diagnostic procedure, provide healthcare professionals with evidence-based decision support, and facilitate timely referrals and intervals.</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BE1B43" w:rsidRDefault="00ED7927" w:rsidP="00BE1B43">
      <w:pPr>
        <w:numPr>
          <w:ilvl w:val="0"/>
          <w:numId w:val="7"/>
        </w:numPr>
        <w:ind w:left="646" w:right="646"/>
        <w:jc w:val="both"/>
        <w:rPr>
          <w:rFonts w:ascii="Arial" w:hAnsi="Arial" w:cs="Arial"/>
        </w:rPr>
      </w:pPr>
      <w:r w:rsidRPr="004E509D">
        <w:rPr>
          <w:rFonts w:ascii="Arial" w:hAnsi="Arial" w:cs="Arial"/>
          <w:b/>
        </w:rPr>
        <w:t>TIMELY:</w:t>
      </w:r>
      <w:r w:rsidRPr="004E509D">
        <w:rPr>
          <w:rFonts w:ascii="Arial" w:hAnsi="Arial" w:cs="Arial"/>
        </w:rPr>
        <w:t xml:space="preserve"> 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ED7927">
      <w:pPr>
        <w:pStyle w:val="Heading1"/>
        <w:ind w:left="646" w:right="646"/>
        <w:jc w:val="both"/>
      </w:pPr>
      <w:bookmarkStart w:id="17" w:name="_Toc175583582"/>
      <w:r>
        <w:t>5</w:t>
      </w:r>
      <w:r w:rsidR="00ED7927">
        <w:t xml:space="preserve">.2 </w:t>
      </w:r>
      <w:r w:rsidR="00ED7927">
        <w:t>DECISION-MAKING CRITERIA</w:t>
      </w:r>
      <w:bookmarkEnd w:id="17"/>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77777777" w:rsidR="00ED7927" w:rsidRDefault="00ED7927" w:rsidP="00ED7927">
      <w:pPr>
        <w:pStyle w:val="Caption"/>
        <w:keepNext/>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2E962136" wp14:editId="5084E23E">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98975D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8480" behindDoc="0" locked="0" layoutInCell="1" allowOverlap="1" wp14:anchorId="14E84542" wp14:editId="2DB5BB8F">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F593C" id="Straight Arrow Connector 2" o:spid="_x0000_s1026" type="#_x0000_t32" style="position:absolute;margin-left:-.45pt;margin-top:3.1pt;width:0;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ED7927">
      <w:pPr>
        <w:pStyle w:val="Heading1"/>
        <w:ind w:left="646" w:right="646"/>
        <w:jc w:val="both"/>
      </w:pPr>
      <w:bookmarkStart w:id="18" w:name="_Toc175583583"/>
      <w:r>
        <w:t>5</w:t>
      </w:r>
      <w:r w:rsidR="00ED7927">
        <w:t>.</w:t>
      </w:r>
      <w:r>
        <w:t>3</w:t>
      </w:r>
      <w:r w:rsidR="00ED7927" w:rsidRPr="004E509D">
        <w:t xml:space="preserve"> </w:t>
      </w:r>
      <w:r w:rsidR="00ED7927">
        <w:t>POSSIBLE SOLUTIONS AND OPTIONS</w:t>
      </w:r>
      <w:bookmarkEnd w:id="18"/>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w:t>
      </w:r>
      <w:r w:rsidRPr="008C26B5">
        <w:rPr>
          <w:rFonts w:ascii="Arial" w:hAnsi="Arial" w:cs="Arial"/>
        </w:rPr>
        <w:lastRenderedPageBreak/>
        <w:t xml:space="preserve">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9" w:name="_Hlk174981522"/>
            <w:r w:rsidRPr="008C26B5">
              <w:rPr>
                <w:rFonts w:ascii="Arial" w:eastAsia="Arial Unicode MS" w:hAnsi="Arial" w:cs="Arial"/>
                <w:b/>
                <w:bCs/>
                <w:sz w:val="18"/>
                <w:szCs w:val="18"/>
                <w:lang w:val="en-US"/>
              </w:rPr>
              <w:t>Notify symptom matches</w:t>
            </w:r>
            <w:bookmarkEnd w:id="19"/>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CAA2C74" w:rsidR="004C40C7" w:rsidRPr="001867E8" w:rsidRDefault="004C40C7" w:rsidP="004C40C7">
      <w:pPr>
        <w:pStyle w:val="Heading1"/>
        <w:ind w:left="646" w:right="646"/>
        <w:jc w:val="both"/>
        <w:rPr>
          <w:rFonts w:ascii="Arial" w:hAnsi="Arial" w:cs="Arial"/>
          <w:lang w:val="en-US"/>
        </w:rPr>
      </w:pPr>
      <w:bookmarkStart w:id="20" w:name="_Toc175583584"/>
      <w:r>
        <w:rPr>
          <w:rFonts w:ascii="Arial" w:hAnsi="Arial" w:cs="Arial"/>
          <w:lang w:val="en-US"/>
        </w:rPr>
        <w:lastRenderedPageBreak/>
        <w:t xml:space="preserve">5.4 </w:t>
      </w:r>
      <w:r>
        <w:rPr>
          <w:rFonts w:ascii="Arial" w:hAnsi="Arial" w:cs="Arial"/>
          <w:lang w:val="en-US"/>
        </w:rPr>
        <w:t>SELECTION OF THE BEST SOLUTION</w:t>
      </w:r>
      <w:bookmarkEnd w:id="20"/>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Pr="004C40C7" w:rsidRDefault="00ED7927" w:rsidP="004C40C7">
      <w:pPr>
        <w:ind w:right="646"/>
        <w:jc w:val="both"/>
        <w:rPr>
          <w:rFonts w:ascii="Arial" w:hAnsi="Arial" w:cs="Arial"/>
        </w:rPr>
      </w:pPr>
    </w:p>
    <w:p w14:paraId="5C392D40" w14:textId="1C711828" w:rsidR="004C40C7" w:rsidRPr="00BE1B43" w:rsidRDefault="004C40C7" w:rsidP="004C40C7">
      <w:pPr>
        <w:pStyle w:val="Heading1"/>
        <w:numPr>
          <w:ilvl w:val="1"/>
          <w:numId w:val="1"/>
        </w:numPr>
        <w:ind w:right="646"/>
        <w:jc w:val="both"/>
        <w:rPr>
          <w:rFonts w:ascii="Arial" w:hAnsi="Arial" w:cs="Arial"/>
          <w:highlight w:val="yellow"/>
        </w:rPr>
      </w:pPr>
      <w:bookmarkStart w:id="21" w:name="_Toc175583585"/>
      <w:r w:rsidRPr="00BE1B43">
        <w:rPr>
          <w:rFonts w:ascii="Arial" w:hAnsi="Arial" w:cs="Arial"/>
          <w:highlight w:val="yellow"/>
        </w:rPr>
        <w:t>IMPLEMENTATION OF THE SOLUTION</w:t>
      </w:r>
      <w:bookmarkEnd w:id="21"/>
    </w:p>
    <w:p w14:paraId="5D86EE4E" w14:textId="77777777" w:rsidR="004C40C7" w:rsidRPr="00BE1B43" w:rsidRDefault="004C40C7" w:rsidP="004C40C7">
      <w:pPr>
        <w:ind w:left="646"/>
        <w:rPr>
          <w:highlight w:val="yellow"/>
        </w:rPr>
      </w:pPr>
    </w:p>
    <w:p w14:paraId="43D89761" w14:textId="789FE2A8" w:rsidR="004C40C7" w:rsidRPr="00BE1B43" w:rsidRDefault="004C40C7" w:rsidP="004C40C7">
      <w:pPr>
        <w:pStyle w:val="Heading1"/>
        <w:numPr>
          <w:ilvl w:val="1"/>
          <w:numId w:val="1"/>
        </w:numPr>
        <w:ind w:right="646"/>
        <w:jc w:val="both"/>
        <w:rPr>
          <w:rFonts w:ascii="Arial" w:hAnsi="Arial" w:cs="Arial"/>
          <w:highlight w:val="yellow"/>
        </w:rPr>
      </w:pPr>
      <w:bookmarkStart w:id="22" w:name="_Toc175583586"/>
      <w:r w:rsidRPr="00BE1B43">
        <w:rPr>
          <w:rFonts w:ascii="Arial" w:hAnsi="Arial" w:cs="Arial"/>
          <w:highlight w:val="yellow"/>
        </w:rPr>
        <w:t>EVALUATION</w:t>
      </w:r>
      <w:bookmarkEnd w:id="22"/>
    </w:p>
    <w:p w14:paraId="7A1D5A62" w14:textId="77777777" w:rsidR="004C40C7" w:rsidRPr="00BE1B43" w:rsidRDefault="004C40C7" w:rsidP="004C40C7">
      <w:pPr>
        <w:ind w:left="646"/>
        <w:rPr>
          <w:highlight w:val="yellow"/>
        </w:rPr>
      </w:pPr>
    </w:p>
    <w:p w14:paraId="07AB9A6C" w14:textId="20395274" w:rsidR="004C40C7" w:rsidRPr="00BE1B43" w:rsidRDefault="004C40C7" w:rsidP="004C40C7">
      <w:pPr>
        <w:ind w:left="646"/>
        <w:rPr>
          <w:highlight w:val="yellow"/>
        </w:rPr>
      </w:pPr>
    </w:p>
    <w:p w14:paraId="26134372" w14:textId="007D73B1" w:rsidR="004E509D" w:rsidRPr="00BE1B43" w:rsidRDefault="004E509D" w:rsidP="004C40C7">
      <w:pPr>
        <w:ind w:right="646"/>
        <w:jc w:val="both"/>
        <w:rPr>
          <w:rFonts w:ascii="Arial" w:hAnsi="Arial" w:cs="Arial"/>
          <w:highlight w:val="yellow"/>
        </w:rPr>
      </w:pPr>
    </w:p>
    <w:p w14:paraId="2EC81DC7" w14:textId="4E2B3758" w:rsidR="00BE1B43" w:rsidRPr="00BE1B43" w:rsidRDefault="004C40C7" w:rsidP="00BE1B43">
      <w:pPr>
        <w:pStyle w:val="Heading1"/>
        <w:ind w:left="646" w:right="646"/>
        <w:jc w:val="both"/>
        <w:rPr>
          <w:rFonts w:ascii="Arial" w:hAnsi="Arial" w:cs="Arial"/>
          <w:highlight w:val="yellow"/>
          <w:lang w:val="en-US"/>
        </w:rPr>
      </w:pPr>
      <w:bookmarkStart w:id="23" w:name="_Toc175583587"/>
      <w:r w:rsidRPr="00BE1B43">
        <w:rPr>
          <w:rFonts w:ascii="Arial" w:hAnsi="Arial" w:cs="Arial"/>
          <w:highlight w:val="yellow"/>
          <w:lang w:val="en-US"/>
        </w:rPr>
        <w:t>6.IMPACT</w:t>
      </w:r>
      <w:bookmarkEnd w:id="23"/>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24" w:name="_Toc175583588"/>
      <w:r w:rsidRPr="00BE1B43">
        <w:rPr>
          <w:rFonts w:ascii="Arial" w:hAnsi="Arial" w:cs="Arial"/>
          <w:highlight w:val="yellow"/>
          <w:lang w:val="en-US"/>
        </w:rPr>
        <w:lastRenderedPageBreak/>
        <w:t>7</w:t>
      </w:r>
      <w:r w:rsidRPr="00BE1B43">
        <w:rPr>
          <w:rFonts w:ascii="Arial" w:hAnsi="Arial" w:cs="Arial"/>
          <w:highlight w:val="yellow"/>
          <w:lang w:val="en-US"/>
        </w:rPr>
        <w:t>.</w:t>
      </w:r>
      <w:r w:rsidRPr="00BE1B43">
        <w:rPr>
          <w:rFonts w:ascii="Arial" w:hAnsi="Arial" w:cs="Arial"/>
          <w:highlight w:val="yellow"/>
          <w:lang w:val="en-US"/>
        </w:rPr>
        <w:t>CONCLUSION</w:t>
      </w:r>
      <w:bookmarkEnd w:id="24"/>
    </w:p>
    <w:p w14:paraId="0BCDB980" w14:textId="676B0625" w:rsidR="00321808" w:rsidRPr="008C26B5" w:rsidRDefault="00321808" w:rsidP="00BE1B43">
      <w:pPr>
        <w:ind w:right="720"/>
        <w:jc w:val="both"/>
      </w:pPr>
      <w:r>
        <w:rPr>
          <w:kern w:val="0"/>
          <w14:ligatures w14:val="none"/>
        </w:rPr>
        <w:br w:type="page"/>
      </w:r>
    </w:p>
    <w:bookmarkStart w:id="25" w:name="_Toc175583589"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25"/>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0D77E" w14:textId="77777777" w:rsidR="005047A0" w:rsidRDefault="005047A0" w:rsidP="00C11F0D">
      <w:pPr>
        <w:spacing w:after="0" w:line="240" w:lineRule="auto"/>
      </w:pPr>
      <w:r>
        <w:separator/>
      </w:r>
    </w:p>
  </w:endnote>
  <w:endnote w:type="continuationSeparator" w:id="0">
    <w:p w14:paraId="45272938" w14:textId="77777777" w:rsidR="005047A0" w:rsidRDefault="005047A0"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5335" w14:textId="77777777" w:rsidR="005047A0" w:rsidRDefault="005047A0" w:rsidP="00C11F0D">
      <w:pPr>
        <w:spacing w:after="0" w:line="240" w:lineRule="auto"/>
      </w:pPr>
      <w:r>
        <w:separator/>
      </w:r>
    </w:p>
  </w:footnote>
  <w:footnote w:type="continuationSeparator" w:id="0">
    <w:p w14:paraId="526007C6" w14:textId="77777777" w:rsidR="005047A0" w:rsidRDefault="005047A0"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9"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9"/>
  </w:num>
  <w:num w:numId="3" w16cid:durableId="1822456158">
    <w:abstractNumId w:val="10"/>
  </w:num>
  <w:num w:numId="4" w16cid:durableId="705719114">
    <w:abstractNumId w:val="0"/>
  </w:num>
  <w:num w:numId="5" w16cid:durableId="936861554">
    <w:abstractNumId w:val="7"/>
  </w:num>
  <w:num w:numId="6" w16cid:durableId="1744371878">
    <w:abstractNumId w:val="2"/>
  </w:num>
  <w:num w:numId="7" w16cid:durableId="693191698">
    <w:abstractNumId w:val="5"/>
  </w:num>
  <w:num w:numId="8" w16cid:durableId="287782191">
    <w:abstractNumId w:val="11"/>
  </w:num>
  <w:num w:numId="9" w16cid:durableId="277109741">
    <w:abstractNumId w:val="10"/>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8"/>
  </w:num>
  <w:num w:numId="12" w16cid:durableId="1099373321">
    <w:abstractNumId w:val="3"/>
  </w:num>
  <w:num w:numId="13" w16cid:durableId="34787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F54FD"/>
    <w:rsid w:val="001329F9"/>
    <w:rsid w:val="00161498"/>
    <w:rsid w:val="00163DB9"/>
    <w:rsid w:val="0018213A"/>
    <w:rsid w:val="001867E8"/>
    <w:rsid w:val="001B4F9E"/>
    <w:rsid w:val="00215C5D"/>
    <w:rsid w:val="00244881"/>
    <w:rsid w:val="00284CF9"/>
    <w:rsid w:val="00321808"/>
    <w:rsid w:val="0039085A"/>
    <w:rsid w:val="00412CDC"/>
    <w:rsid w:val="004C40C7"/>
    <w:rsid w:val="004E509D"/>
    <w:rsid w:val="005047A0"/>
    <w:rsid w:val="005602EA"/>
    <w:rsid w:val="005F3121"/>
    <w:rsid w:val="00650E21"/>
    <w:rsid w:val="00670B5F"/>
    <w:rsid w:val="006F1D0E"/>
    <w:rsid w:val="00715D9B"/>
    <w:rsid w:val="007E5170"/>
    <w:rsid w:val="00837F24"/>
    <w:rsid w:val="008C26B5"/>
    <w:rsid w:val="00903802"/>
    <w:rsid w:val="00982366"/>
    <w:rsid w:val="009F1ACE"/>
    <w:rsid w:val="00A0188D"/>
    <w:rsid w:val="00A05B99"/>
    <w:rsid w:val="00A375D0"/>
    <w:rsid w:val="00A629EB"/>
    <w:rsid w:val="00B90F4C"/>
    <w:rsid w:val="00BA3E78"/>
    <w:rsid w:val="00BE1B43"/>
    <w:rsid w:val="00BF10D4"/>
    <w:rsid w:val="00C070F9"/>
    <w:rsid w:val="00C11F0D"/>
    <w:rsid w:val="00C35CFC"/>
    <w:rsid w:val="00C57758"/>
    <w:rsid w:val="00CA5FA5"/>
    <w:rsid w:val="00D3429E"/>
    <w:rsid w:val="00D405FF"/>
    <w:rsid w:val="00DF0576"/>
    <w:rsid w:val="00E55100"/>
    <w:rsid w:val="00E94444"/>
    <w:rsid w:val="00EB135A"/>
    <w:rsid w:val="00EB52D6"/>
    <w:rsid w:val="00ED7927"/>
    <w:rsid w:val="00FA09D2"/>
    <w:rsid w:val="00FC5654"/>
    <w:rsid w:val="00FC67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23Modules\%232024\1&amp;amp;2VMHC300\QIP%20Documents%20to%20use-20240523\VMHC%20300%20TEMPLATE%20FOR%20QIP%20REPORT%20%20-%202024.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23Modules\%232024\1&amp;amp;2VMHC300\QIP%20Documents%20to%20use-20240523\VMHC%20300%20TEMPLATE%20FOR%20QIP%20REPORT%20%20-%202024.docx" TargetMode="External"/><Relationship Id="rId4" Type="http://schemas.openxmlformats.org/officeDocument/2006/relationships/settings" Target="settings.xml"/><Relationship Id="rId9" Type="http://schemas.openxmlformats.org/officeDocument/2006/relationships/hyperlink" Target="file:///C:\%23Modules\%232024\1&amp;amp;2VMHC300\QIP%20Documents%20to%20use-20240523\VMHC%20300%20TEMPLATE%20FOR%20QIP%20REPORT%20%20-%20202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5130</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2</cp:revision>
  <dcterms:created xsi:type="dcterms:W3CDTF">2024-08-26T15:01:00Z</dcterms:created>
  <dcterms:modified xsi:type="dcterms:W3CDTF">2024-08-26T15:01:00Z</dcterms:modified>
</cp:coreProperties>
</file>