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39.076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S-3XT1-M/BL9-1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S-3XT1-M/BL9-2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S-3XT1-M/BL10-1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S-3XT1-M/BL10-2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S-3XT1-M/BL12-2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S-3XT1-M/BL14-2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S-3XT1-M/YL1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0~2.789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2.789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S-3XT1-M/YL2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0~4.287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4.287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