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sz w:val="28"/>
          <w:szCs w:val="28"/>
        </w:rPr>
      </w:pPr>
      <w:r>
        <w:rPr>
          <w:rFonts w:hint="eastAsia" w:ascii="汉仪大隶书简" w:hAnsi="汉仪大隶书简" w:eastAsia="汉仪大隶书简" w:cs="汉仪大隶书简"/>
          <w:b/>
          <w:sz w:val="44"/>
          <w:szCs w:val="44"/>
        </w:rPr>
        <w:t>超声波检测报告</w:t>
      </w:r>
    </w:p>
    <w:p w14:paraId="609A94F9">
      <w:pPr>
        <w:spacing w:line="400" w:lineRule="exact"/>
        <w:ind w:right="160" w:rightChars="76" w:firstLine="240" w:firstLineChars="100"/>
        <w:jc w:val="right"/>
        <w:rPr>
          <w:rFonts w:hint="default" w:ascii="Arial" w:hAnsi="Arial" w:eastAsia="宋体"/>
          <w:sz w:val="36"/>
          <w:u w:val="single"/>
          <w:lang w:val="en-US" w:eastAsia="zh-CN"/>
        </w:rPr>
      </w:pPr>
      <w:r>
        <w:rPr>
          <w:rFonts w:hint="eastAsia"/>
          <w:sz w:val="24"/>
          <w:szCs w:val="32"/>
        </w:rPr>
        <w:t>报告编号</w:t>
      </w:r>
      <w:r>
        <w:rPr>
          <w:sz w:val="24"/>
          <w:szCs w:val="32"/>
        </w:rPr>
        <w:t>:</w:t>
      </w:r>
      <w:r>
        <w:rPr>
          <w:rFonts w:hint="eastAsia" w:ascii="宋体"/>
        </w:rPr>
        <w:t xml:space="preserve"> </w:t>
      </w:r>
      <w:r>
        <w:rPr>
          <w:rFonts w:hint="eastAsia" w:ascii="Times New Roman" w:hAnsi="Times New Roman" w:cs="Times New Roman"/>
          <w:color w:val="4F81BD"/>
          <w:sz w:val="24"/>
          <w:u w:val="single"/>
          <w:lang w:val="en-US" w:eastAsia="zh-CN"/>
        </w:rPr>
        <w:t>ZJC016-24-XC-UT-023</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000000"/>
                <w:sz w:val="21"/>
                <w:szCs w:val="21"/>
                <w:lang w:val="en-US" w:eastAsia="zh-CN"/>
              </w:rPr>
            </w:pPr>
            <w:r>
              <w:rPr>
                <w:rFonts w:hint="eastAsia" w:ascii="Times New Roman" w:hAnsi="Times New Roman" w:cs="Times New Roman"/>
                <w:color w:val="4F81BD"/>
                <w:sz w:val="21"/>
                <w:szCs w:val="21"/>
                <w:lang w:val="en-US" w:eastAsia="zh-CN"/>
              </w:rPr>
              <w:t>江苏捷达交通工程集团有限公司与中铁十四局集团有限公司联合体东台至兴化高速公路DX-XH2标项目经理部</w:t>
            </w:r>
          </w:p>
        </w:tc>
        <w:tc>
          <w:tcPr>
            <w:tcW w:w="1534" w:type="dxa"/>
            <w:gridSpan w:val="3"/>
            <w:noWrap w:val="0"/>
            <w:vAlign w:val="center"/>
          </w:tcPr>
          <w:p w14:paraId="7DF3A30C">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东台至兴化高速公路DX-XH2标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这是构件名称</w:t>
            </w:r>
          </w:p>
        </w:tc>
        <w:tc>
          <w:tcPr>
            <w:tcW w:w="1534" w:type="dxa"/>
            <w:gridSpan w:val="3"/>
            <w:noWrap w:val="0"/>
            <w:vAlign w:val="center"/>
          </w:tcPr>
          <w:p w14:paraId="78D3D17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这是检测部位</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szCs w:val="21"/>
                <w:lang w:val="en-US" w:eastAsia="zh-CN"/>
              </w:rPr>
            </w:pPr>
            <w:r>
              <w:rPr>
                <w:rFonts w:hint="eastAsia" w:ascii="Times New Roman" w:hAnsi="Times New Roman" w:cs="Times New Roman"/>
                <w:color w:val="4F81BD"/>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这是检测数量</w:t>
            </w:r>
            <w:r>
              <w:rPr>
                <w:rFonts w:hint="default" w:ascii="Times New Roman" w:hAnsi="Times New Roman" w:cs="Times New Roman"/>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焊后24小时</w:t>
            </w:r>
          </w:p>
        </w:tc>
        <w:tc>
          <w:tcPr>
            <w:tcW w:w="1266" w:type="dxa"/>
            <w:noWrap w:val="0"/>
            <w:vAlign w:val="center"/>
          </w:tcPr>
          <w:p w14:paraId="1ED75AD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FF0000"/>
                <w:kern w:val="2"/>
                <w:sz w:val="18"/>
                <w:szCs w:val="18"/>
                <w:lang w:val="en-US" w:eastAsia="zh-CN" w:bidi="ar-SA"/>
              </w:rPr>
            </w:pPr>
            <w:r>
              <w:rPr>
                <w:rFonts w:hint="default" w:ascii="Times New Roman" w:hAnsi="Times New Roman" w:cs="Times New Roman"/>
                <w:color w:val="4F81BD"/>
                <w:sz w:val="18"/>
                <w:szCs w:val="18"/>
              </w:rPr>
              <w:t>SAW/GMAW/FCAW  CO2气体保护焊</w:t>
            </w:r>
          </w:p>
        </w:tc>
        <w:tc>
          <w:tcPr>
            <w:tcW w:w="1330" w:type="dxa"/>
            <w:noWrap w:val="0"/>
            <w:vAlign w:val="center"/>
          </w:tcPr>
          <w:p w14:paraId="4101C861">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4F81BD"/>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cs="Times New Roman"/>
                <w:sz w:val="21"/>
                <w:szCs w:val="21"/>
                <w:lang w:val="en-US" w:eastAsia="zh-CN"/>
              </w:rPr>
            </w:pPr>
            <w:r>
              <w:rPr>
                <w:rFonts w:hint="eastAsia" w:ascii="Times New Roman" w:hAnsi="Times New Roman" w:cs="Times New Roman"/>
                <w:color w:val="0000FF"/>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cs="Times New Roman"/>
                <w:color w:val="FF0000"/>
                <w:sz w:val="21"/>
                <w:szCs w:val="21"/>
              </w:rPr>
            </w:pPr>
            <w:r>
              <w:rPr>
                <w:rFonts w:hint="default" w:ascii="Times New Roman" w:hAnsi="Times New Roman" w:eastAsia="宋体" w:cs="Times New Roman"/>
                <w:color w:val="auto"/>
                <w:sz w:val="21"/>
                <w:szCs w:val="21"/>
                <w:lang w:val="en-US" w:eastAsia="zh-CN"/>
              </w:rPr>
              <w:t>25℃</w:t>
            </w:r>
          </w:p>
        </w:tc>
        <w:tc>
          <w:tcPr>
            <w:tcW w:w="1330" w:type="dxa"/>
            <w:noWrap w:val="0"/>
            <w:vAlign w:val="center"/>
          </w:tcPr>
          <w:p w14:paraId="2849AB9E">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仪器型号</w:t>
            </w:r>
            <w:r>
              <w:rPr>
                <w:rFonts w:hint="default" w:ascii="Times New Roman" w:hAnsi="Times New Roman" w:cs="Times New Roman"/>
                <w:sz w:val="21"/>
                <w:szCs w:val="21"/>
                <w:lang w:val="en-US" w:eastAsia="zh-CN"/>
              </w:rPr>
              <w:t>/</w:t>
            </w:r>
          </w:p>
          <w:p w14:paraId="0E81BCC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4F81BD"/>
                <w:kern w:val="2"/>
                <w:sz w:val="21"/>
                <w:szCs w:val="21"/>
                <w:lang w:val="en-US" w:eastAsia="zh-CN" w:bidi="ar-SA"/>
              </w:rPr>
              <w:t>这是仪器型号/缩号</w:t>
            </w:r>
          </w:p>
        </w:tc>
        <w:tc>
          <w:tcPr>
            <w:tcW w:w="1266" w:type="dxa"/>
            <w:noWrap w:val="0"/>
            <w:vAlign w:val="center"/>
          </w:tcPr>
          <w:p w14:paraId="49688F8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仿宋" w:cs="Times New Roman"/>
                <w:kern w:val="2"/>
                <w:sz w:val="21"/>
                <w:szCs w:val="21"/>
                <w:lang w:val="en-US" w:eastAsia="zh-CN" w:bidi="ar-SA"/>
              </w:rPr>
            </w:pPr>
            <w:r>
              <w:rPr>
                <w:rFonts w:hint="default" w:ascii="Times New Roman" w:hAnsi="Times New Roman" w:eastAsia="仿宋_GB2312" w:cs="Times New Roman"/>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采用标准</w:t>
            </w:r>
            <w:r>
              <w:rPr>
                <w:rFonts w:hint="default" w:ascii="Times New Roman" w:hAnsi="Times New Roman" w:cs="Times New Roman"/>
                <w:sz w:val="21"/>
                <w:szCs w:val="21"/>
                <w:lang w:val="en-US" w:eastAsia="zh-CN"/>
              </w:rPr>
              <w:t>/</w:t>
            </w:r>
          </w:p>
          <w:p w14:paraId="52EB48D6">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 11345-2013  检验等级 B</w:t>
            </w:r>
          </w:p>
          <w:p w14:paraId="31A045B0">
            <w:pPr>
              <w:spacing w:line="240" w:lineRule="exact"/>
              <w:jc w:val="center"/>
              <w:rPr>
                <w:rFonts w:hint="default"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GB/T29712-2013  验收等级 2</w:t>
            </w:r>
          </w:p>
        </w:tc>
        <w:tc>
          <w:tcPr>
            <w:tcW w:w="1330" w:type="dxa"/>
            <w:noWrap w:val="0"/>
            <w:vAlign w:val="center"/>
          </w:tcPr>
          <w:p w14:paraId="6351B926">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母材检测</w:t>
            </w:r>
          </w:p>
          <w:p w14:paraId="2BD1ACB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cs="Times New Roman"/>
              </w:rPr>
            </w:pPr>
            <w:r>
              <w:rPr>
                <w:rFonts w:hint="default" w:ascii="Times New Roman" w:hAnsi="Times New Roman" w:cs="Times New Roman"/>
              </w:rPr>
              <w:t>检测部位及</w:t>
            </w:r>
            <w:r>
              <w:rPr>
                <w:rFonts w:hint="default" w:ascii="Times New Roman" w:hAnsi="Times New Roman" w:cs="Times New Roman"/>
                <w:lang w:eastAsia="zh-CN"/>
              </w:rPr>
              <w:t>缺欠</w:t>
            </w:r>
            <w:r>
              <w:rPr>
                <w:rFonts w:hint="default" w:ascii="Times New Roman" w:hAnsi="Times New Roman" w:cs="Times New Roman"/>
              </w:rPr>
              <w:t>示意图：</w:t>
            </w:r>
          </w:p>
          <w:p w14:paraId="5C49BA25">
            <w:pPr>
              <w:jc w:val="center"/>
              <w:rPr>
                <w:rFonts w:hint="default" w:eastAsia="宋体"/>
                <w:lang w:val="en-US" w:eastAsia="zh-CN"/>
              </w:rPr>
            </w:pPr>
            <w:r/>
            <w:r>
              <w:drawing>
                <wp:inline xmlns:a="http://schemas.openxmlformats.org/drawingml/2006/main" xmlns:pic="http://schemas.openxmlformats.org/drawingml/2006/picture">
                  <wp:extent cx="33264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3326400" cy="2019600"/>
                          </a:xfrm>
                          <a:prstGeom prst="rect"/>
                        </pic:spPr>
                      </pic:pic>
                    </a:graphicData>
                  </a:graphic>
                </wp:inline>
              </w:drawing>
            </w:r>
          </w:p>
          <w:p w14:paraId="6F43115D">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说明：</w:t>
            </w:r>
            <w:r>
              <w:rPr>
                <w:rFonts w:hint="default" w:ascii="Times New Roman" w:hAnsi="Times New Roman" w:cs="Times New Roman"/>
              </w:rPr>
              <w:t>焊缝坐标方向</w:t>
            </w:r>
            <w:r>
              <w:rPr>
                <w:rFonts w:hint="default" w:ascii="Times New Roman" w:hAnsi="Times New Roman" w:cs="Times New Roman"/>
                <w:lang w:val="en-US" w:eastAsia="zh-CN"/>
              </w:rPr>
              <w:t>为</w:t>
            </w:r>
            <w:r>
              <w:rPr>
                <w:rFonts w:hint="default" w:ascii="Times New Roman" w:hAnsi="Times New Roman" w:cs="Times New Roman"/>
              </w:rPr>
              <w:t>纵向焊缝从小桩号到大桩号；环向焊缝从左到右；竖直焊缝从上到下</w:t>
            </w:r>
            <w:r>
              <w:rPr>
                <w:rFonts w:hint="default" w:ascii="Times New Roman" w:hAnsi="Times New Roman" w:cs="Times New Roman"/>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cs="Times New Roman"/>
              </w:rPr>
            </w:pPr>
            <w:r>
              <w:rPr>
                <w:rFonts w:hint="default" w:ascii="Times New Roman" w:hAnsi="Times New Roman" w:cs="Times New Roman"/>
              </w:rPr>
              <w:t>依据上述标准及合格级别，本公司按照上述比例对上述检测部位焊缝进行了</w:t>
            </w:r>
            <w:bookmarkStart w:id="0" w:name="_GoBack"/>
            <w:bookmarkEnd w:id="0"/>
            <w:r>
              <w:rPr>
                <w:rFonts w:hint="default" w:ascii="Times New Roman" w:hAnsi="Times New Roman" w:cs="Times New Roman"/>
              </w:rPr>
              <w:t>检测，</w:t>
            </w:r>
            <w:r>
              <w:rPr>
                <w:rFonts w:hint="eastAsia" w:ascii="Times New Roman" w:hAnsi="Times New Roman" w:cs="Times New Roman"/>
                <w:color w:val="0000FF"/>
                <w:lang w:val="en-US" w:eastAsia="zh-CN"/>
              </w:rPr>
              <w:t>发现 2 处超标缺欠，其余焊缝检测结论合格</w:t>
            </w:r>
            <w:r>
              <w:rPr>
                <w:rFonts w:hint="default" w:ascii="Times New Roman" w:hAnsi="Times New Roman" w:cs="Times New Roman"/>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cs="Times New Roman"/>
              </w:rPr>
            </w:pPr>
            <w:r>
              <w:rPr>
                <w:rFonts w:hint="default" w:ascii="Times New Roman" w:hAnsi="Times New Roman" w:cs="Times New Roman"/>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lang w:val="en-US" w:eastAsia="zh-CN"/>
              </w:rPr>
              <w:t>编制人员</w:t>
            </w:r>
          </w:p>
        </w:tc>
        <w:tc>
          <w:tcPr>
            <w:tcW w:w="817" w:type="dxa"/>
            <w:shd w:val="clear" w:color="auto" w:fill="auto"/>
            <w:noWrap w:val="0"/>
            <w:vAlign w:val="center"/>
          </w:tcPr>
          <w:p w14:paraId="0CDC47F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审核人员</w:t>
            </w:r>
          </w:p>
        </w:tc>
        <w:tc>
          <w:tcPr>
            <w:tcW w:w="816" w:type="dxa"/>
            <w:shd w:val="clear" w:color="auto" w:fill="auto"/>
            <w:noWrap w:val="0"/>
            <w:vAlign w:val="center"/>
          </w:tcPr>
          <w:p w14:paraId="3C035F2E">
            <w:pPr>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批准人员</w:t>
            </w:r>
          </w:p>
        </w:tc>
        <w:tc>
          <w:tcPr>
            <w:tcW w:w="816" w:type="dxa"/>
            <w:noWrap w:val="0"/>
            <w:vAlign w:val="center"/>
          </w:tcPr>
          <w:p w14:paraId="543957AD">
            <w:pPr>
              <w:jc w:val="center"/>
              <w:rPr>
                <w:rFonts w:hint="default" w:ascii="Times New Roman" w:hAnsi="Times New Roman" w:cs="Times New Roman"/>
                <w:szCs w:val="21"/>
              </w:rPr>
            </w:pPr>
            <w:r>
              <w:rPr>
                <w:rFonts w:hint="default" w:ascii="Times New Roman" w:hAnsi="Times New Roman" w:cs="Times New Roman"/>
              </w:rPr>
              <w:t>日 期</w:t>
            </w:r>
          </w:p>
        </w:tc>
        <w:tc>
          <w:tcPr>
            <w:tcW w:w="1618" w:type="dxa"/>
            <w:noWrap w:val="0"/>
            <w:vAlign w:val="center"/>
          </w:tcPr>
          <w:p w14:paraId="633666AB">
            <w:pPr>
              <w:jc w:val="center"/>
              <w:rPr>
                <w:rFonts w:hint="default" w:ascii="Times New Roman" w:hAnsi="Times New Roman" w:eastAsia="宋体" w:cs="Times New Roman"/>
                <w:szCs w:val="21"/>
                <w:lang w:val="en-US" w:eastAsia="zh-CN"/>
              </w:rPr>
            </w:pPr>
            <w:r>
              <w:rPr>
                <w:rFonts w:hint="eastAsia" w:ascii="Times New Roman" w:hAnsi="Times New Roman" w:cs="Times New Roman"/>
                <w:color w:val="0000FF"/>
                <w:szCs w:val="21"/>
                <w:lang w:val="en-US" w:eastAsia="zh-CN"/>
              </w:rPr>
              <w:t>报告的日期</w:t>
            </w:r>
          </w:p>
        </w:tc>
      </w:tr>
    </w:tbl>
    <w:p w14:paraId="5DC56595">
      <w:pPr>
        <w:rPr>
          <w:rFonts w:hint="default" w:eastAsia="汉仪大隶书简"/>
          <w:b/>
          <w:sz w:val="2"/>
          <w:szCs w:val="2"/>
          <w:lang w:val="en-US"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ZJC016-24-XC-UT-023</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JD4z-BC-1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16+16</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16853</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16853</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JD4z-BC-2</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16+16</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16853</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16853</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JD4z-BC-3</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16853</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16853</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H0+3.5</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855.0</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7800/12650</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0.0</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11.0</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不合格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JD4z-BC-4</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16760</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16760</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JD4z-TP-1</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JD4z-TP-2</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JD4z-TP-3</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JD4z-TP-4</w:t>
            </w: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16⊥16</w:t>
            </w: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2000</w:t>
            </w: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r>
              <w:t>2000</w:t>
            </w: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r>
              <w:t>/</w:t>
            </w: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r>
              <w:t>/</w:t>
            </w: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JD4z-TP-5</w:t>
            </w: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JD4z-TP-6</w:t>
            </w: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JD4z-TP-7</w:t>
            </w: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JD4z-TP-8</w:t>
            </w: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JD4z-TP-9</w:t>
            </w: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JD4z-TP-10</w:t>
            </w: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JD4z-GB1-TP-1</w:t>
            </w: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JD4z-GB1-TP-2</w:t>
            </w: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JD4z-GB2-TP-1</w:t>
            </w: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JD4z-GB2-TP-2</w:t>
            </w: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JD4z-GB3-TP-1</w:t>
            </w: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JD4z-GB3-TP-2</w:t>
            </w: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JD4z-GB4-TP-1</w:t>
            </w: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JD4z-GB4-TP-2</w:t>
            </w: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JD4z-GB5-TP-1</w:t>
            </w: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JD4z-GB5-TP-2</w:t>
            </w: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JD4z-GB6-TP-1</w:t>
            </w: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2024.10.25</w:t>
            </w:r>
            <w:bookmarkStart w:id="1" w:name="_GoBack"/>
            <w:bookmarkEnd w:id="1"/>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ZJC016-24-XC-UT-023（续1）</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JD4z-GB6-TP-2</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20⊥16</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280</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280</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JD4z-GB7-TP-1</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20⊥16</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280</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280</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JD4z-GB7-TP-2</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JD4z-GB8-TP-1</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JD4z-GB8-TP-2</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JD4z-ZG1-TP-1</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3086</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3086</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JD4z-ZG1-TP-2</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1892</w:t>
            </w: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1892</w:t>
            </w: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JD4z-ZG1-TP-3</w:t>
            </w: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28⊥20</w:t>
            </w: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1890</w:t>
            </w: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r>
              <w:t>1890</w:t>
            </w: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r>
              <w:t>/</w:t>
            </w: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r>
              <w:t>/</w:t>
            </w: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JD4z-ZG1-TP-4</w:t>
            </w: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3084</w:t>
            </w: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3084</w:t>
            </w: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JD4z-ZG1-TP-6</w:t>
            </w: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3162</w:t>
            </w: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3162</w:t>
            </w: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JD4z-ZG1-TP-7</w:t>
            </w: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3068</w:t>
            </w: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3068</w:t>
            </w: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JD4z-ZG1-TP-8</w:t>
            </w: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3068</w:t>
            </w: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3068</w:t>
            </w: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JD4z-ZG1-TP-9</w:t>
            </w: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3162</w:t>
            </w: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3162</w:t>
            </w: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SL+4.2</w:t>
            </w: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95.0</w:t>
            </w: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2100</w:t>
            </w: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0.0</w:t>
            </w: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13.0</w:t>
            </w: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不合格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JD4z-ZG1-TP-11</w:t>
            </w: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2192</w:t>
            </w: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2192</w:t>
            </w: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JD4z-ZG1-TP-12</w:t>
            </w: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2013</w:t>
            </w: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2013</w:t>
            </w: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JD4z-ZG1-TP-13</w:t>
            </w: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2015</w:t>
            </w: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2015</w:t>
            </w: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JD4z-ZG1-TP-14</w:t>
            </w: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2192</w:t>
            </w: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2192</w:t>
            </w: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JD4z-ZG2-TP-1</w:t>
            </w: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3086</w:t>
            </w: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3086</w:t>
            </w: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JD4z-ZG2-TP-2</w:t>
            </w: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1892</w:t>
            </w: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1892</w:t>
            </w: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JD4z-ZG2-TP-3</w:t>
            </w: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1890</w:t>
            </w: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1890</w:t>
            </w: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JD4z-ZG2-TP-4</w:t>
            </w: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3084</w:t>
            </w: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3084</w:t>
            </w: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JD4z-ZG2-TP-6</w:t>
            </w: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3162</w:t>
            </w: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3162</w:t>
            </w: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JD4z-ZG2-TP-7</w:t>
            </w: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3068</w:t>
            </w: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3068</w:t>
            </w: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JD4z-ZG2-TP-8</w:t>
            </w: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3068</w:t>
            </w: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3068</w:t>
            </w: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JD4z-ZG2-TP-9</w:t>
            </w: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3162</w:t>
            </w: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3162</w:t>
            </w: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2024.10.25</w:t>
            </w:r>
            <w:bookmarkStart w:id="2" w:name="_GoBack"/>
            <w:bookmarkEnd w:id="2"/>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ZJC016-24-XC-UT-023（续2）</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JD4z-ZG2-TP-11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28⊥20</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2192</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2192</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JD4z-ZG2-TP-12</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28⊥20</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2013</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2013</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以下空白</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2024.10.25</w:t>
            </w:r>
            <w:bookmarkStart w:id="3" w:name="_GoBack"/>
            <w:bookmarkEnd w:id="3"/>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2E01E19-23E6-4606-B026-227FB445AA15}"/>
  </w:font>
  <w:font w:name="Arial">
    <w:panose1 w:val="020B0604020202020204"/>
    <w:charset w:val="01"/>
    <w:family w:val="swiss"/>
    <w:pitch w:val="default"/>
    <w:sig w:usb0="E0002EFF" w:usb1="C000785B" w:usb2="00000009" w:usb3="00000000" w:csb0="400001FF" w:csb1="FFFF0000"/>
    <w:embedRegular r:id="rId2" w:fontKey="{A81D55B9-0795-4902-AC98-0A543EBA6AB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DB916C20-2B9A-4764-9CED-5E1F038BAF33}"/>
  </w:font>
  <w:font w:name="Symbol">
    <w:panose1 w:val="05050102010706020507"/>
    <w:charset w:val="02"/>
    <w:family w:val="roman"/>
    <w:pitch w:val="default"/>
    <w:sig w:usb0="00000000" w:usb1="00000000" w:usb2="00000000" w:usb3="00000000" w:csb0="80000000" w:csb1="00000000"/>
    <w:embedRegular r:id="rId4" w:fontKey="{E96B8425-7159-4173-8EC6-BD49CDD9436D}"/>
  </w:font>
  <w:font w:name="Calibri">
    <w:panose1 w:val="020F0502020204030204"/>
    <w:charset w:val="00"/>
    <w:family w:val="swiss"/>
    <w:pitch w:val="default"/>
    <w:sig w:usb0="E4002EFF" w:usb1="C000247B" w:usb2="00000009" w:usb3="00000000" w:csb0="200001FF" w:csb1="00000000"/>
    <w:embedRegular r:id="rId5" w:fontKey="{C5930908-198E-4820-A908-22D2329CC9C4}"/>
  </w:font>
  <w:font w:name="汉仪大隶书简">
    <w:panose1 w:val="02010600000101010101"/>
    <w:charset w:val="86"/>
    <w:family w:val="auto"/>
    <w:pitch w:val="default"/>
    <w:sig w:usb0="00000001" w:usb1="080E0800" w:usb2="00000002" w:usb3="00000000" w:csb0="00040000" w:csb1="00000000"/>
    <w:embedRegular r:id="rId6" w:fontKey="{23B37958-C9F7-4D0B-B455-AA0F3CA8180D}"/>
  </w:font>
  <w:font w:name="仿宋">
    <w:panose1 w:val="02010609060101010101"/>
    <w:charset w:val="86"/>
    <w:family w:val="auto"/>
    <w:pitch w:val="default"/>
    <w:sig w:usb0="800002BF" w:usb1="38CF7CFA" w:usb2="00000016" w:usb3="00000000" w:csb0="00040001" w:csb1="00000000"/>
    <w:embedRegular r:id="rId7" w:fontKey="{9A05EB98-2D83-4DA5-B8C6-DEC838D1070D}"/>
  </w:font>
  <w:font w:name="仿宋_GB2312">
    <w:altName w:val="仿宋"/>
    <w:panose1 w:val="02010609030101010101"/>
    <w:charset w:val="86"/>
    <w:family w:val="modern"/>
    <w:pitch w:val="default"/>
    <w:sig w:usb0="00000000" w:usb1="00000000" w:usb2="00000000" w:usb3="00000000" w:csb0="00040000" w:csb1="00000000"/>
    <w:embedRegular r:id="rId8" w:fontKey="{D674985B-C7EF-4EA3-B9D9-9FDF81B83BA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常州视正钢结构检测有限公司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80146B5"/>
    <w:rsid w:val="1ADC0C9C"/>
    <w:rsid w:val="21CD55AA"/>
    <w:rsid w:val="2A7C758C"/>
    <w:rsid w:val="31470958"/>
    <w:rsid w:val="40A216A0"/>
    <w:rsid w:val="48EE1E99"/>
    <w:rsid w:val="49783B5C"/>
    <w:rsid w:val="4B6F3FAD"/>
    <w:rsid w:val="4DB940A1"/>
    <w:rsid w:val="5211058D"/>
    <w:rsid w:val="5F300D0C"/>
    <w:rsid w:val="691235DF"/>
    <w:rsid w:val="6E073C8E"/>
    <w:rsid w:val="7580427C"/>
    <w:rsid w:val="792A5156"/>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44bdf-83de-4c48-928d-07c7c65281a5}">
  <ds:schemaRefs/>
</ds:datastoreItem>
</file>

<file path=customXml/itemProps3.xml><?xml version="1.0" encoding="utf-8"?>
<ds:datastoreItem xmlns:ds="http://schemas.openxmlformats.org/officeDocument/2006/customXml" ds:itemID="{9431e312-457c-4399-832c-e7b4cafc20b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423</Words>
  <Characters>423</Characters>
  <Lines>0</Lines>
  <Paragraphs>0</Paragraphs>
  <TotalTime>0</TotalTime>
  <ScaleCrop>false</ScaleCrop>
  <LinksUpToDate>false</LinksUpToDate>
  <CharactersWithSpaces>425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2024-12-30T07:18:01Z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