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color w:val="auto"/>
          <w:sz w:val="28"/>
          <w:szCs w:val="28"/>
        </w:rPr>
      </w:pPr>
      <w:bookmarkStart w:id="0" w:name="_GoBack"/>
      <w:r>
        <w:rPr>
          <w:rFonts w:hint="eastAsia" w:ascii="汉仪大隶书简" w:hAnsi="汉仪大隶书简" w:eastAsia="汉仪大隶书简" w:cs="汉仪大隶书简"/>
          <w:b/>
          <w:color w:val="auto"/>
          <w:sz w:val="44"/>
          <w:szCs w:val="44"/>
          <w:lang w:eastAsia="zh-CN"/>
        </w:rPr>
        <w:t>超声波检测报告</w:t>
      </w:r>
    </w:p>
    <w:p w14:paraId="609A94F9">
      <w:pPr>
        <w:spacing w:line="400" w:lineRule="exact"/>
        <w:ind w:right="160" w:rightChars="76" w:firstLine="240" w:firstLineChars="100"/>
        <w:jc w:val="right"/>
        <w:rPr>
          <w:rFonts w:hint="default" w:ascii="Arial" w:hAnsi="Arial" w:eastAsia="宋体"/>
          <w:color w:val="auto"/>
          <w:sz w:val="36"/>
          <w:u w:val="single"/>
          <w:lang w:val="en-US" w:eastAsia="zh-CN"/>
        </w:rPr>
      </w:pPr>
      <w:r>
        <w:rPr>
          <w:rFonts w:hint="eastAsia"/>
          <w:color w:val="auto"/>
          <w:sz w:val="24"/>
          <w:szCs w:val="32"/>
        </w:rPr>
        <w:t>报告编号</w:t>
      </w:r>
      <w:r>
        <w:rPr>
          <w:color w:val="auto"/>
          <w:sz w:val="24"/>
          <w:szCs w:val="32"/>
        </w:rPr>
        <w:t>:</w:t>
      </w:r>
      <w:r>
        <w:rPr>
          <w:rFonts w:hint="eastAsia" w:ascii="宋体"/>
          <w:color w:val="auto"/>
        </w:rPr>
        <w:t xml:space="preserve"> </w:t>
      </w:r>
      <w:r>
        <w:rPr>
          <w:rFonts w:hint="eastAsia" w:ascii="Times New Roman" w:hAnsi="Times New Roman" w:cs="Times New Roman"/>
          <w:color w:val="auto"/>
          <w:sz w:val="24"/>
          <w:u w:val="single"/>
          <w:lang w:val="en-US" w:eastAsia="zh-CN"/>
        </w:rPr>
        <w:t>这是报告的编号</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江苏常鑫路桥集团有限公司北京路桥通国际工程咨询有限公司苏交科集团检测认证有限公司</w:t>
            </w:r>
          </w:p>
        </w:tc>
        <w:tc>
          <w:tcPr>
            <w:tcW w:w="1534" w:type="dxa"/>
            <w:gridSpan w:val="3"/>
            <w:noWrap w:val="0"/>
            <w:vAlign w:val="center"/>
          </w:tcPr>
          <w:p w14:paraId="7DF3A30C">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南京至盐城高速公路NY-YZ8标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这是构件名称</w:t>
            </w:r>
          </w:p>
        </w:tc>
        <w:tc>
          <w:tcPr>
            <w:tcW w:w="1534" w:type="dxa"/>
            <w:gridSpan w:val="3"/>
            <w:noWrap w:val="0"/>
            <w:vAlign w:val="center"/>
          </w:tcPr>
          <w:p w14:paraId="78D3D17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这是检测部位</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这是检测数量</w:t>
            </w:r>
            <w:r>
              <w:rPr>
                <w:rFonts w:hint="eastAsia" w:ascii="Times New Roman" w:hAnsi="Times New Roman" w:cs="Times New Roman"/>
                <w:color w:val="auto"/>
                <w:sz w:val="21"/>
                <w:szCs w:val="21"/>
                <w:lang w:val="en-US" w:eastAsia="zh-CN"/>
              </w:rPr>
              <w:t xml:space="preserve"> </w:t>
            </w:r>
            <w:r>
              <w:rPr>
                <w:rFonts w:hint="default" w:ascii="Times New Roman" w:hAnsi="Times New Roman" w:eastAsia="宋体" w:cs="Times New Roman"/>
                <w:color w:val="auto"/>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焊后24小时</w:t>
            </w:r>
          </w:p>
        </w:tc>
        <w:tc>
          <w:tcPr>
            <w:tcW w:w="1266" w:type="dxa"/>
            <w:noWrap w:val="0"/>
            <w:vAlign w:val="center"/>
          </w:tcPr>
          <w:p w14:paraId="1ED75AD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CO2气体保护焊+埋弧自动焊</w:t>
            </w:r>
          </w:p>
        </w:tc>
        <w:tc>
          <w:tcPr>
            <w:tcW w:w="1330" w:type="dxa"/>
            <w:noWrap w:val="0"/>
            <w:vAlign w:val="center"/>
          </w:tcPr>
          <w:p w14:paraId="4101C861">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15℃</w:t>
            </w:r>
          </w:p>
        </w:tc>
        <w:tc>
          <w:tcPr>
            <w:tcW w:w="1330" w:type="dxa"/>
            <w:noWrap w:val="0"/>
            <w:vAlign w:val="center"/>
          </w:tcPr>
          <w:p w14:paraId="2849AB9E">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仪器型号</w:t>
            </w:r>
            <w:r>
              <w:rPr>
                <w:rFonts w:hint="default" w:ascii="Times New Roman" w:hAnsi="Times New Roman" w:eastAsia="宋体" w:cs="Times New Roman"/>
                <w:color w:val="auto"/>
                <w:sz w:val="21"/>
                <w:szCs w:val="21"/>
                <w:lang w:val="en-US" w:eastAsia="zh-CN"/>
              </w:rPr>
              <w:t>/</w:t>
            </w:r>
          </w:p>
          <w:p w14:paraId="0E81BCC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超声波探伤仪</w:t>
              <w:br/>
              <w:t>SZ-C02</w:t>
            </w:r>
          </w:p>
        </w:tc>
        <w:tc>
          <w:tcPr>
            <w:tcW w:w="1266" w:type="dxa"/>
            <w:noWrap w:val="0"/>
            <w:vAlign w:val="center"/>
          </w:tcPr>
          <w:p w14:paraId="49688F8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sz w:val="21"/>
                <w:szCs w:val="21"/>
                <w:lang w:val="en-US" w:eastAsia="zh-CN"/>
              </w:rPr>
              <w:t>这是检测位置</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kern w:val="2"/>
                <w:sz w:val="21"/>
                <w:szCs w:val="21"/>
                <w:lang w:val="en-US" w:eastAsia="zh-CN" w:bidi="ar-SA"/>
              </w:rPr>
              <w:t>这是扫查方式</w:t>
            </w:r>
          </w:p>
        </w:tc>
        <w:tc>
          <w:tcPr>
            <w:tcW w:w="1330" w:type="dxa"/>
            <w:noWrap w:val="0"/>
            <w:vAlign w:val="center"/>
          </w:tcPr>
          <w:p w14:paraId="2C2A12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采用标准</w:t>
            </w:r>
            <w:r>
              <w:rPr>
                <w:rFonts w:hint="default" w:ascii="Times New Roman" w:hAnsi="Times New Roman" w:eastAsia="宋体" w:cs="Times New Roman"/>
                <w:color w:val="auto"/>
                <w:sz w:val="21"/>
                <w:szCs w:val="21"/>
                <w:lang w:val="en-US" w:eastAsia="zh-CN"/>
              </w:rPr>
              <w:t>/</w:t>
            </w:r>
          </w:p>
          <w:p w14:paraId="52EB48D6">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11345-2023 检验等级 B</w:t>
            </w:r>
          </w:p>
          <w:p w14:paraId="31A045B0">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这是验收标准</w:t>
            </w:r>
          </w:p>
        </w:tc>
        <w:tc>
          <w:tcPr>
            <w:tcW w:w="1330" w:type="dxa"/>
            <w:noWrap w:val="0"/>
            <w:vAlign w:val="center"/>
          </w:tcPr>
          <w:p w14:paraId="6351B92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母材检测</w:t>
            </w:r>
          </w:p>
          <w:p w14:paraId="2BD1ACB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检测部位及</w:t>
            </w:r>
            <w:r>
              <w:rPr>
                <w:rFonts w:hint="default" w:ascii="Times New Roman" w:hAnsi="Times New Roman" w:eastAsia="宋体" w:cs="Times New Roman"/>
                <w:color w:val="auto"/>
                <w:sz w:val="21"/>
                <w:szCs w:val="21"/>
                <w:lang w:eastAsia="zh-CN"/>
              </w:rPr>
              <w:t>缺欠</w:t>
            </w:r>
            <w:r>
              <w:rPr>
                <w:rFonts w:hint="default" w:ascii="Times New Roman" w:hAnsi="Times New Roman" w:eastAsia="宋体" w:cs="Times New Roman"/>
                <w:color w:val="auto"/>
                <w:sz w:val="21"/>
                <w:szCs w:val="21"/>
              </w:rPr>
              <w:t>示意图：</w:t>
            </w:r>
          </w:p>
          <w:p w14:paraId="5C49BA25">
            <w:pPr>
              <w:jc w:val="center"/>
              <w:rPr>
                <w:rFonts w:hint="default" w:ascii="Times New Roman" w:hAnsi="Times New Roman" w:eastAsia="宋体"/>
                <w:color w:val="auto"/>
                <w:sz w:val="21"/>
                <w:szCs w:val="21"/>
                <w:lang w:val="en-US" w:eastAsia="zh-CN"/>
              </w:rPr>
            </w:pPr>
            <w:r/>
            <w:r>
              <w:drawing>
                <wp:inline xmlns:a="http://schemas.openxmlformats.org/drawingml/2006/main" xmlns:pic="http://schemas.openxmlformats.org/drawingml/2006/picture">
                  <wp:extent cx="5832000" cy="2019600"/>
                  <wp:docPr id="1" name="Picture 1"/>
                  <wp:cNvGraphicFramePr>
                    <a:graphicFrameLocks noChangeAspect="1"/>
                  </wp:cNvGraphicFramePr>
                  <a:graphic>
                    <a:graphicData uri="http://schemas.openxmlformats.org/drawingml/2006/picture">
                      <pic:pic>
                        <pic:nvPicPr>
                          <pic:cNvPr id="0" name="示意图.png"/>
                          <pic:cNvPicPr/>
                        </pic:nvPicPr>
                        <pic:blipFill>
                          <a:blip r:embed="rId10"/>
                          <a:stretch>
                            <a:fillRect/>
                          </a:stretch>
                        </pic:blipFill>
                        <pic:spPr>
                          <a:xfrm>
                            <a:off x="0" y="0"/>
                            <a:ext cx="5832000" cy="2019600"/>
                          </a:xfrm>
                          <a:prstGeom prst="rect"/>
                        </pic:spPr>
                      </pic:pic>
                    </a:graphicData>
                  </a:graphic>
                </wp:inline>
              </w:drawing>
            </w:r>
          </w:p>
          <w:p w14:paraId="6F43115D">
            <w:pPr>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说明：</w:t>
            </w:r>
            <w:r>
              <w:rPr>
                <w:rFonts w:hint="default" w:ascii="Times New Roman" w:hAnsi="Times New Roman" w:eastAsia="宋体" w:cs="Times New Roman"/>
                <w:color w:val="auto"/>
                <w:sz w:val="21"/>
                <w:szCs w:val="21"/>
              </w:rPr>
              <w:t>焊缝坐标方向</w:t>
            </w:r>
            <w:r>
              <w:rPr>
                <w:rFonts w:hint="default" w:ascii="Times New Roman" w:hAnsi="Times New Roman" w:eastAsia="宋体" w:cs="Times New Roman"/>
                <w:color w:val="auto"/>
                <w:sz w:val="21"/>
                <w:szCs w:val="21"/>
                <w:lang w:val="en-US" w:eastAsia="zh-CN"/>
              </w:rPr>
              <w:t>为</w:t>
            </w:r>
            <w:r>
              <w:rPr>
                <w:rFonts w:hint="default" w:ascii="Times New Roman" w:hAnsi="Times New Roman" w:eastAsia="宋体" w:cs="Times New Roman"/>
                <w:color w:val="auto"/>
                <w:sz w:val="21"/>
                <w:szCs w:val="21"/>
              </w:rPr>
              <w:t>纵向焊缝从小桩号到大桩号；环向焊缝从左到右；竖直焊缝从上到下</w:t>
            </w:r>
            <w:r>
              <w:rPr>
                <w:rFonts w:hint="default" w:ascii="Times New Roman" w:hAnsi="Times New Roman" w:eastAsia="宋体" w:cs="Times New Roman"/>
                <w:color w:val="auto"/>
                <w:sz w:val="21"/>
                <w:szCs w:val="21"/>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依据上述标准及合格级别，本公司按照上述比例对上述检测部位焊缝进行了检测，</w:t>
            </w:r>
            <w:r>
              <w:rPr>
                <w:rFonts w:hint="eastAsia" w:ascii="Times New Roman" w:hAnsi="Times New Roman" w:eastAsia="宋体" w:cs="Times New Roman"/>
                <w:color w:val="auto"/>
                <w:sz w:val="21"/>
                <w:szCs w:val="21"/>
                <w:lang w:val="en-US" w:eastAsia="zh-CN"/>
              </w:rPr>
              <w:t>检测的结论</w:t>
            </w:r>
            <w:r>
              <w:rPr>
                <w:rFonts w:hint="default" w:ascii="Times New Roman" w:hAnsi="Times New Roman" w:eastAsia="宋体" w:cs="Times New Roman"/>
                <w:color w:val="auto"/>
                <w:sz w:val="21"/>
                <w:szCs w:val="21"/>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color w:val="auto"/>
                <w:kern w:val="2"/>
                <w:sz w:val="21"/>
                <w:szCs w:val="21"/>
                <w:lang w:val="en-US" w:eastAsia="zh-CN" w:bidi="ar-SA"/>
              </w:rPr>
            </w:pPr>
          </w:p>
        </w:tc>
        <w:tc>
          <w:tcPr>
            <w:tcW w:w="817" w:type="dxa"/>
            <w:shd w:val="clear" w:color="auto" w:fill="auto"/>
            <w:noWrap w:val="0"/>
            <w:vAlign w:val="center"/>
          </w:tcPr>
          <w:p w14:paraId="0CDC47FF">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color w:val="auto"/>
                <w:kern w:val="2"/>
                <w:sz w:val="21"/>
                <w:szCs w:val="21"/>
                <w:lang w:val="en-US" w:eastAsia="zh-CN" w:bidi="ar-SA"/>
              </w:rPr>
            </w:pPr>
          </w:p>
        </w:tc>
        <w:tc>
          <w:tcPr>
            <w:tcW w:w="816" w:type="dxa"/>
            <w:shd w:val="clear" w:color="auto" w:fill="auto"/>
            <w:noWrap w:val="0"/>
            <w:vAlign w:val="center"/>
          </w:tcPr>
          <w:p w14:paraId="3C035F2E">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color w:val="auto"/>
                <w:kern w:val="2"/>
                <w:sz w:val="21"/>
                <w:szCs w:val="21"/>
                <w:lang w:val="en-US" w:eastAsia="zh-CN" w:bidi="ar-SA"/>
              </w:rPr>
            </w:pPr>
          </w:p>
        </w:tc>
        <w:tc>
          <w:tcPr>
            <w:tcW w:w="816" w:type="dxa"/>
            <w:noWrap w:val="0"/>
            <w:vAlign w:val="center"/>
          </w:tcPr>
          <w:p w14:paraId="543957AD">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日 期</w:t>
            </w:r>
          </w:p>
        </w:tc>
        <w:tc>
          <w:tcPr>
            <w:tcW w:w="1618" w:type="dxa"/>
            <w:noWrap w:val="0"/>
            <w:vAlign w:val="center"/>
          </w:tcPr>
          <w:p w14:paraId="633666AB">
            <w:pPr>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报告的日期</w:t>
            </w:r>
          </w:p>
        </w:tc>
      </w:tr>
    </w:tbl>
    <w:p w14:paraId="5DC56595">
      <w:pPr>
        <w:rPr>
          <w:rFonts w:hint="default" w:eastAsia="汉仪大隶书简"/>
          <w:b/>
          <w:color w:val="auto"/>
          <w:sz w:val="2"/>
          <w:szCs w:val="2"/>
          <w:lang w:val="en-US" w:eastAsia="zh-CN"/>
        </w:rPr>
      </w:pPr>
    </w:p>
    <w:bookmarkEnd w:id="0"/>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2FDA3405-86D6-4A06-8000-FC9B88306A91}"/>
  </w:font>
  <w:font w:name="Arial">
    <w:panose1 w:val="020B0604020202020204"/>
    <w:charset w:val="01"/>
    <w:family w:val="swiss"/>
    <w:pitch w:val="default"/>
    <w:sig w:usb0="E0002EFF" w:usb1="C000785B" w:usb2="00000009" w:usb3="00000000" w:csb0="400001FF" w:csb1="FFFF0000"/>
    <w:embedRegular r:id="rId2" w:fontKey="{D89F8BD0-E7CC-4B3B-9BA5-B7E98EB32B71}"/>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367F047A-CE8D-4AAE-A432-B01768D40508}"/>
  </w:font>
  <w:font w:name="Symbol">
    <w:panose1 w:val="05050102010706020507"/>
    <w:charset w:val="02"/>
    <w:family w:val="roman"/>
    <w:pitch w:val="default"/>
    <w:sig w:usb0="00000000" w:usb1="00000000" w:usb2="00000000" w:usb3="00000000" w:csb0="80000000" w:csb1="00000000"/>
    <w:embedRegular r:id="rId4" w:fontKey="{5764807E-5972-4D28-BD16-226F5DDE7DA1}"/>
  </w:font>
  <w:font w:name="Calibri">
    <w:panose1 w:val="020F0502020204030204"/>
    <w:charset w:val="00"/>
    <w:family w:val="swiss"/>
    <w:pitch w:val="default"/>
    <w:sig w:usb0="E4002EFF" w:usb1="C000247B" w:usb2="00000009" w:usb3="00000000" w:csb0="200001FF" w:csb1="00000000"/>
    <w:embedRegular r:id="rId5" w:fontKey="{2D57C4BA-9934-4CD6-BDDC-959B6DD77FCA}"/>
  </w:font>
  <w:font w:name="汉仪大隶书简">
    <w:panose1 w:val="02010600000101010101"/>
    <w:charset w:val="86"/>
    <w:family w:val="auto"/>
    <w:pitch w:val="default"/>
    <w:sig w:usb0="00000001" w:usb1="080E0800" w:usb2="00000002" w:usb3="00000000" w:csb0="00040000" w:csb1="00000000"/>
    <w:embedRegular r:id="rId6" w:fontKey="{B83AB424-21C7-41C8-9DCB-A64F533A553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2"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3"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72451FD"/>
    <w:rsid w:val="180146B5"/>
    <w:rsid w:val="1ADC0C9C"/>
    <w:rsid w:val="21CD55AA"/>
    <w:rsid w:val="2A7C758C"/>
    <w:rsid w:val="31470958"/>
    <w:rsid w:val="3DBE142F"/>
    <w:rsid w:val="40A216A0"/>
    <w:rsid w:val="48EE1E99"/>
    <w:rsid w:val="49322326"/>
    <w:rsid w:val="49783B5C"/>
    <w:rsid w:val="4B6F3FAD"/>
    <w:rsid w:val="4DB940A1"/>
    <w:rsid w:val="5211058D"/>
    <w:rsid w:val="5F300D0C"/>
    <w:rsid w:val="60641EF1"/>
    <w:rsid w:val="6398281C"/>
    <w:rsid w:val="640D2C5A"/>
    <w:rsid w:val="691235DF"/>
    <w:rsid w:val="6AA23822"/>
    <w:rsid w:val="6E073C8E"/>
    <w:rsid w:val="70CA2E00"/>
    <w:rsid w:val="7121101B"/>
    <w:rsid w:val="7580427C"/>
    <w:rsid w:val="776F7873"/>
    <w:rsid w:val="792A5156"/>
    <w:rsid w:val="79B50A3B"/>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31e312-457c-4399-832c-e7b4cafc20b5}">
  <ds:schemaRefs/>
</ds:datastoreItem>
</file>

<file path=customXml/itemProps3.xml><?xml version="1.0" encoding="utf-8"?>
<ds:datastoreItem xmlns:ds="http://schemas.openxmlformats.org/officeDocument/2006/customXml" ds:itemID="{eff44bdf-83de-4c48-928d-07c7c65281a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410</Words>
  <Characters>410</Characters>
  <Lines>0</Lines>
  <Paragraphs>0</Paragraphs>
  <TotalTime>0</TotalTime>
  <ScaleCrop>false</ScaleCrop>
  <LinksUpToDate>false</LinksUpToDate>
  <CharactersWithSpaces>413</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2025-01-23T06:43:39Z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