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eastAsia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r>
        <w:rPr>
          <w:rFonts w:hint="default" w:ascii="Times New Roman" w:hAnsi="Times New Roman" w:eastAsia="Times New Roman"/>
          <w:color w:val="000000"/>
          <w:sz w:val="24"/>
          <w:szCs w:val="24"/>
        </w:rPr>
        <w:t xml:space="preserve"> 合同号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>HWK-6</w:t>
      </w:r>
      <w:r>
        <w:rPr>
          <w:rFonts w:hint="eastAsia" w:ascii="Times New Roman" w:hAnsi="Times New Roman" w:eastAsia="宋体"/>
          <w:color w:val="000000"/>
          <w:sz w:val="24"/>
          <w:szCs w:val="24"/>
          <w:u w:val="single"/>
          <w:lang w:val="en-US" w:eastAsia="zh-CN"/>
        </w:rPr>
        <w:t>5</w:t>
      </w:r>
      <w:bookmarkStart w:id="0" w:name="_GoBack"/>
      <w:bookmarkEnd w:id="0"/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ZJC001-QQSN-G-25-UT-001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沪武高速公路太仓至常州段扩建工程钢结构制造施工项目HWK-65标段（峭岐枢纽互通G匝道桥）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BKD3-1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顶板荒料对接焊缝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 xml:space="preserve">2.425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30℃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单面双侧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2025.07.20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ZJC001-QQSN-G-25-UT-001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D-1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16+16</w:t>
              <w:br/>
              <w:t>(V)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0~2.425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2.425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2025.07.20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10C1515F"/>
    <w:rsid w:val="22121085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2025-09-25T15:22:01Z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