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宋体" w:hAnsi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bookmarkStart w:id="0" w:name="_GoBack"/>
      <w:bookmarkEnd w:id="0"/>
      <w:r>
        <w:rPr>
          <w:rFonts w:hint="default" w:ascii="宋体" w:hAnsi="Times New Roman"/>
          <w:color w:val="000000"/>
          <w:sz w:val="24"/>
          <w:szCs w:val="24"/>
        </w:rPr>
        <w:t xml:space="preserve"> 合同号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宋体" w:hAnsi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ZJC001-QQSN-ZXQ-25-UT-033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沪武高速公路太仓至常州段扩建工程钢结构制造施工项目HWK-65标段(峭岐枢纽互通主线桥）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AZHG29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挑臂底板与加劲部分熔透角焊缝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 xml:space="preserve">0.456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宋体" w:hAnsi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29712-2023 验收等级 3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2025.07.21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ZJC001-QQSN-ZXQ-25-UT-033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14(S10,V)+16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(0~0.456)*1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0.456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2025.07.21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2025-08-25T00:27:00Z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