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宋体" w:hAnsi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bookmarkStart w:id="0" w:name="_GoBack"/>
      <w:bookmarkEnd w:id="0"/>
      <w:r>
        <w:rPr>
          <w:rFonts w:hint="default" w:ascii="宋体" w:hAnsi="Times New Roman"/>
          <w:color w:val="000000"/>
          <w:sz w:val="24"/>
          <w:szCs w:val="24"/>
        </w:rPr>
        <w:t xml:space="preserve"> 合同号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宋体" w:hAnsi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宋体" w:hAnsi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宋体" w:hAnsi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宋体" w:hAnsi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宋体" w:hAnsi="Times New Roman"/>
          <w:color w:val="000000"/>
          <w:kern w:val="0"/>
          <w:sz w:val="24"/>
          <w:szCs w:val="24"/>
          <w:u w:val="single"/>
        </w:rPr>
        <w:t>ZJC001-QQSN-ZXQ-25-UT-037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AZHG32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顶板与端隔板熔透角焊缝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 xml:space="preserve">3.75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宋体" w:hAnsi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宋体" w:hAnsi="Times New Roman"/>
                <w:color w:val="auto"/>
                <w:sz w:val="21"/>
                <w:szCs w:val="21"/>
              </w:rPr>
              <w:t>2025.07.20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ZJC001-QQSN-ZXQ-25-UT-037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RJ-1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18(V)+28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(0~3.75)*1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2025-08-25T00:27:00Z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