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ED7201">
      <w:pPr>
        <w:spacing w:beforeLines="0" w:afterLines="0" w:line="360" w:lineRule="auto"/>
        <w:jc w:val="center"/>
        <w:rPr>
          <w:rFonts w:hint="eastAsia" w:ascii="汉仪大隶书简" w:hAnsi="汉仪大隶书简" w:eastAsia="汉仪大隶书简" w:cs="汉仪大隶书简"/>
          <w:b/>
          <w:color w:val="auto"/>
          <w:sz w:val="28"/>
          <w:szCs w:val="28"/>
        </w:rPr>
      </w:pPr>
      <w:bookmarkStart w:id="0" w:name="_GoBack"/>
      <w:r>
        <w:rPr>
          <w:rFonts w:hint="eastAsia" w:ascii="汉仪大隶书简" w:hAnsi="汉仪大隶书简" w:eastAsia="汉仪大隶书简" w:cs="汉仪大隶书简"/>
          <w:b/>
          <w:color w:val="auto"/>
          <w:sz w:val="44"/>
          <w:szCs w:val="44"/>
        </w:rPr>
        <w:t>超声波检测报告</w:t>
      </w:r>
    </w:p>
    <w:bookmarkEnd w:id="0"/>
    <w:p w14:paraId="3AAA3F69">
      <w:pPr>
        <w:spacing w:beforeLines="0" w:afterLines="0" w:line="400" w:lineRule="exact"/>
        <w:ind w:right="160" w:rightChars="76" w:firstLine="240" w:firstLineChars="100"/>
        <w:jc w:val="right"/>
        <w:rPr>
          <w:rFonts w:hint="eastAsia" w:ascii="宋体" w:hAnsi="宋体" w:eastAsia="宋体" w:cs="宋体"/>
          <w:color w:val="auto"/>
          <w:sz w:val="36"/>
          <w:szCs w:val="24"/>
          <w:u w:val="single"/>
        </w:rPr>
      </w:pPr>
      <w:r>
        <w:rPr>
          <w:rFonts w:hint="eastAsia" w:ascii="宋体" w:hAnsi="宋体" w:eastAsia="宋体" w:cs="宋体"/>
          <w:color w:val="auto"/>
          <w:sz w:val="24"/>
          <w:szCs w:val="32"/>
        </w:rPr>
        <w:t>报告编号:</w:t>
      </w:r>
      <w:r>
        <w:rPr>
          <w:rFonts w:hint="eastAsia" w:ascii="宋体" w:hAnsi="宋体" w:eastAsia="宋体" w:cs="宋体"/>
          <w:color w:val="auto"/>
          <w:sz w:val="21"/>
          <w:szCs w:val="24"/>
        </w:rPr>
        <w:t xml:space="preserve"> </w:t>
      </w:r>
      <w:r>
        <w:rPr>
          <w:rFonts w:hint="eastAsia" w:ascii="宋体" w:hAnsi="宋体" w:eastAsia="宋体" w:cs="宋体"/>
          <w:color w:val="auto"/>
          <w:sz w:val="24"/>
          <w:szCs w:val="24"/>
          <w:u w:val="single"/>
        </w:rPr>
        <w:t>这是报告的编号</w:t>
      </w:r>
    </w:p>
    <w:tbl>
      <w:tblPr>
        <w:tblStyle w:val="4"/>
        <w:tblW w:w="961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5"/>
        <w:gridCol w:w="487"/>
        <w:gridCol w:w="934"/>
        <w:gridCol w:w="817"/>
        <w:gridCol w:w="1266"/>
        <w:gridCol w:w="376"/>
        <w:gridCol w:w="816"/>
        <w:gridCol w:w="342"/>
        <w:gridCol w:w="1330"/>
        <w:gridCol w:w="816"/>
        <w:gridCol w:w="1618"/>
      </w:tblGrid>
      <w:tr w14:paraId="57902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1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4A350E1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委托单位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A7D8CC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这是委托单位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6A270DA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工程名称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C501831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这是工程名称</w:t>
            </w:r>
          </w:p>
        </w:tc>
      </w:tr>
      <w:tr w14:paraId="27625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36ABF6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构件名称</w:t>
            </w:r>
          </w:p>
        </w:tc>
        <w:tc>
          <w:tcPr>
            <w:tcW w:w="3017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8633875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这是构件名称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AE1CBE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检测部位</w:t>
            </w:r>
          </w:p>
        </w:tc>
        <w:tc>
          <w:tcPr>
            <w:tcW w:w="376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9462B57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这是检测部位</w:t>
            </w:r>
          </w:p>
        </w:tc>
      </w:tr>
      <w:tr w14:paraId="2EAC3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DACA15C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材质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21DAB3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这是材质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5A1E2AF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坡口形式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1F065A6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这是坡口形式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7B5C45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检测数量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9EA88AF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这是检测数量 m</w:t>
            </w:r>
          </w:p>
        </w:tc>
      </w:tr>
      <w:tr w14:paraId="70CC4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06BEA44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检测时机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5CEC2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这是检测时机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37BEEE8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焊接方法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5026FD1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这是焊接方式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85E803B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检测比例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6A65496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这是检测比例</w:t>
            </w:r>
          </w:p>
        </w:tc>
      </w:tr>
      <w:tr w14:paraId="395F3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267E08B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热处理状态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C67C96B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这是热处理状态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092F553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工件温度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DA0D062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这是工件温度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EFE132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表面状态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1FF2504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这是表面状态</w:t>
            </w:r>
          </w:p>
        </w:tc>
      </w:tr>
      <w:tr w14:paraId="25F50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37FBBC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仪器型号/</w:t>
            </w:r>
          </w:p>
          <w:p w14:paraId="0B3C68EF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编号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21793FA5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这是仪器型号/编号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08166AE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探头规格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0BF3F97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这是探头规格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E600683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耦合剂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464E982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这是耦合剂</w:t>
            </w:r>
          </w:p>
        </w:tc>
      </w:tr>
      <w:tr w14:paraId="7223D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38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1BA512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表面补偿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C58C284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这是表面补偿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921DE44">
            <w:pPr>
              <w:spacing w:beforeLines="0" w:afterLines="0" w:line="240" w:lineRule="exact"/>
              <w:ind w:right="-46" w:rightChars="-22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对比试块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B74E950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这是对比试块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375D820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标准试块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CB880F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这是标准试块</w:t>
            </w:r>
          </w:p>
        </w:tc>
      </w:tr>
      <w:tr w14:paraId="38CAE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4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4704E11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检测位置</w:t>
            </w:r>
          </w:p>
        </w:tc>
        <w:tc>
          <w:tcPr>
            <w:tcW w:w="17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B9EA3BB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这是检测位置</w:t>
            </w:r>
          </w:p>
        </w:tc>
        <w:tc>
          <w:tcPr>
            <w:tcW w:w="126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F1438CB">
            <w:pPr>
              <w:spacing w:beforeLines="0" w:afterLines="0" w:line="240" w:lineRule="exact"/>
              <w:ind w:right="-46" w:rightChars="-22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扫查方式</w:t>
            </w:r>
          </w:p>
        </w:tc>
        <w:tc>
          <w:tcPr>
            <w:tcW w:w="153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3319FCC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这是扫查方式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93AEC58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检测灵敏度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091B271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这是检测灵敏度</w:t>
            </w:r>
          </w:p>
        </w:tc>
      </w:tr>
      <w:tr w14:paraId="6E5700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55" w:hRule="atLeast"/>
          <w:jc w:val="center"/>
        </w:trPr>
        <w:tc>
          <w:tcPr>
            <w:tcW w:w="130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DC3DE43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采用标准/</w:t>
            </w:r>
          </w:p>
          <w:p w14:paraId="05487277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级别</w:t>
            </w:r>
          </w:p>
        </w:tc>
        <w:tc>
          <w:tcPr>
            <w:tcW w:w="4551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3EA725E8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这是检验标准</w:t>
            </w:r>
          </w:p>
          <w:p w14:paraId="299527E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这是验收标准</w:t>
            </w:r>
          </w:p>
        </w:tc>
        <w:tc>
          <w:tcPr>
            <w:tcW w:w="13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5409EB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母材检测</w:t>
            </w:r>
          </w:p>
          <w:p w14:paraId="2D9314E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结果</w:t>
            </w:r>
          </w:p>
        </w:tc>
        <w:tc>
          <w:tcPr>
            <w:tcW w:w="2434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328982A">
            <w:pPr>
              <w:spacing w:beforeLines="0" w:afterLines="0" w:line="240" w:lineRule="exact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这是母材检测结果</w:t>
            </w:r>
          </w:p>
        </w:tc>
      </w:tr>
      <w:tr w14:paraId="2789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2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1C10F17A">
            <w:pPr>
              <w:spacing w:beforeLines="0" w:afterLines="0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21"/>
                <w:szCs w:val="24"/>
              </w:rPr>
              <w:t>检测部位及缺陷示意图：</w:t>
            </w:r>
          </w:p>
          <w:p w14:paraId="15715D48">
            <w:pPr>
              <w:spacing w:beforeLines="0" w:afterLines="0"/>
              <w:rPr>
                <w:rFonts w:hint="eastAsia" w:ascii="宋体" w:hAnsi="宋体" w:eastAsia="宋体" w:cs="宋体"/>
                <w:sz w:val="21"/>
                <w:szCs w:val="24"/>
              </w:rPr>
            </w:pPr>
          </w:p>
          <w:p w14:paraId="15483FDA">
            <w:pPr>
              <w:spacing w:beforeLines="0" w:afterLines="0"/>
              <w:jc w:val="center"/>
              <w:rPr>
                <w:rFonts w:hint="eastAsia" w:ascii="宋体" w:hAnsi="宋体" w:eastAsia="宋体" w:cs="宋体"/>
                <w:sz w:val="36"/>
                <w:szCs w:val="44"/>
              </w:rPr>
            </w:pPr>
          </w:p>
          <w:p w14:paraId="645A0DFF">
            <w:pPr>
              <w:spacing w:beforeLines="0" w:afterLines="0"/>
              <w:jc w:val="center"/>
              <w:rPr>
                <w:rFonts w:hint="eastAsia" w:ascii="宋体" w:hAnsi="宋体" w:eastAsia="宋体" w:cs="宋体"/>
                <w:sz w:val="36"/>
                <w:szCs w:val="44"/>
              </w:rPr>
            </w:pPr>
          </w:p>
          <w:p w14:paraId="67BB1561">
            <w:pPr>
              <w:spacing w:beforeLines="0" w:afterLines="0"/>
              <w:jc w:val="center"/>
              <w:rPr>
                <w:rFonts w:hint="eastAsia" w:ascii="宋体" w:hAnsi="宋体" w:eastAsia="宋体" w:cs="宋体"/>
                <w:sz w:val="21"/>
                <w:szCs w:val="24"/>
              </w:rPr>
            </w:pPr>
            <w:r>
              <w:rPr>
                <w:rFonts w:hint="eastAsia" w:ascii="宋体" w:hAnsi="宋体" w:eastAsia="宋体" w:cs="宋体"/>
                <w:sz w:val="36"/>
                <w:szCs w:val="44"/>
              </w:rPr>
              <w:t>见附页</w:t>
            </w:r>
          </w:p>
        </w:tc>
      </w:tr>
      <w:tr w14:paraId="036B2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8" w:hRule="atLeast"/>
          <w:jc w:val="center"/>
        </w:trPr>
        <w:tc>
          <w:tcPr>
            <w:tcW w:w="9617" w:type="dxa"/>
            <w:gridSpan w:val="11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top"/>
          </w:tcPr>
          <w:p w14:paraId="63449B93">
            <w:pPr>
              <w:spacing w:beforeLines="0" w:afterLines="0" w:line="400" w:lineRule="exact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检测结果：</w:t>
            </w:r>
          </w:p>
          <w:p w14:paraId="4153AE65">
            <w:pPr>
              <w:spacing w:beforeLines="0" w:afterLines="0" w:line="400" w:lineRule="exact"/>
              <w:ind w:firstLine="420" w:firstLineChars="200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依据上述标准及合格级别，本公司按照上述比例对上述检测部位焊缝进行了检测，检测的结论，具体检测情况见下页检测结果表格。</w:t>
            </w:r>
          </w:p>
        </w:tc>
      </w:tr>
      <w:tr w14:paraId="062B1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8" w:hRule="atLeast"/>
          <w:jc w:val="center"/>
        </w:trPr>
        <w:tc>
          <w:tcPr>
            <w:tcW w:w="8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5B2E6BED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编制</w:t>
            </w:r>
          </w:p>
        </w:tc>
        <w:tc>
          <w:tcPr>
            <w:tcW w:w="142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391A3BD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</w:p>
        </w:tc>
        <w:tc>
          <w:tcPr>
            <w:tcW w:w="8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1E7C26DA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审核</w:t>
            </w:r>
          </w:p>
        </w:tc>
        <w:tc>
          <w:tcPr>
            <w:tcW w:w="164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7558377E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008207F5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批准</w:t>
            </w:r>
          </w:p>
        </w:tc>
        <w:tc>
          <w:tcPr>
            <w:tcW w:w="16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F26EA84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</w:p>
        </w:tc>
        <w:tc>
          <w:tcPr>
            <w:tcW w:w="81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6E8AB4BE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日 期</w:t>
            </w:r>
          </w:p>
        </w:tc>
        <w:tc>
          <w:tcPr>
            <w:tcW w:w="16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  <w:tl2br w:val="nil"/>
              <w:tr2bl w:val="nil"/>
            </w:tcBorders>
            <w:noWrap w:val="0"/>
            <w:vAlign w:val="center"/>
          </w:tcPr>
          <w:p w14:paraId="4CD90538">
            <w:pPr>
              <w:spacing w:beforeLines="0" w:afterLines="0"/>
              <w:jc w:val="center"/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color w:val="auto"/>
                <w:sz w:val="21"/>
                <w:szCs w:val="21"/>
              </w:rPr>
              <w:t>报告的日期</w:t>
            </w:r>
          </w:p>
        </w:tc>
      </w:tr>
    </w:tbl>
    <w:p w14:paraId="1392D366">
      <w:pPr>
        <w:spacing w:beforeLines="0" w:afterLines="0"/>
        <w:rPr>
          <w:rFonts w:hint="default" w:eastAsia="汉仪大隶书简"/>
          <w:b/>
          <w:color w:val="auto"/>
          <w:sz w:val="2"/>
          <w:szCs w:val="2"/>
        </w:rPr>
      </w:pPr>
    </w:p>
    <w:p w14:paraId="1871CB48"/>
    <w:sectPr>
      <w:headerReference r:id="rId4" w:type="default"/>
      <w:footerReference r:id="rId5" w:type="default"/>
      <w:pgSz w:w="11906" w:h="16838"/>
      <w:pgMar w:top="1440" w:right="1080" w:bottom="1440" w:left="1080" w:header="851" w:footer="992" w:gutter="0"/>
      <w:lnNumType w:countBy="0" w:distance="36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汉仪大隶书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义启手写体">
    <w:panose1 w:val="02000500000000000000"/>
    <w:charset w:val="86"/>
    <w:family w:val="auto"/>
    <w:pitch w:val="default"/>
    <w:sig w:usb0="800002BF" w:usb1="184F6CFA" w:usb2="00000012" w:usb3="00000000" w:csb0="00040001" w:csb1="0000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1FB9E">
    <w:pPr>
      <w:pStyle w:val="2"/>
      <w:spacing w:beforeLines="0" w:afterLines="0"/>
      <w:rPr>
        <w:rFonts w:hint="default"/>
        <w:sz w:val="18"/>
        <w:szCs w:val="24"/>
      </w:rPr>
    </w:pPr>
    <w:r>
      <w:rPr>
        <w:rFonts w:hint="default"/>
        <w:sz w:val="18"/>
        <w:szCs w:val="24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ECE381">
                          <w:pPr>
                            <w:pStyle w:val="2"/>
                            <w:spacing w:beforeLines="0" w:afterLines="0"/>
                            <w:rPr>
                              <w:rFonts w:hint="default"/>
                              <w:sz w:val="18"/>
                              <w:szCs w:val="24"/>
                            </w:rPr>
                          </w:pP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第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1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 xml:space="preserve">页 共 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>3</w:t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fldChar w:fldCharType="end"/>
                          </w:r>
                          <w:r>
                            <w:rPr>
                              <w:rFonts w:hint="default"/>
                              <w:sz w:val="18"/>
                              <w:szCs w:val="24"/>
                            </w:rPr>
                            <w:t xml:space="preserve"> </w:t>
                          </w:r>
                          <w:r>
                            <w:rPr>
                              <w:rFonts w:hint="default" w:ascii="宋体"/>
                              <w:sz w:val="18"/>
                              <w:szCs w:val="24"/>
                            </w:rPr>
                            <w:t>页</w:t>
                          </w:r>
                        </w:p>
                      </w:txbxContent>
                    </wps:txbx>
                    <wps:bodyPr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NJWO7QAAAABQEAAA8A&#10;AAAAAAAAAQAgAAAAIgAAAGRycy9kb3ducmV2LnhtbFBLAQIUABQAAAAIAIdO4kDQUPlE5gEAAMcD&#10;AAAOAAAAAAAAAAEAIAAAAB8BAABkcnMvZTJvRG9jLnhtbFBLBQYAAAAABgAGAFkBAAB3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BECE381">
                    <w:pPr>
                      <w:pStyle w:val="2"/>
                      <w:spacing w:beforeLines="0" w:afterLines="0"/>
                      <w:rPr>
                        <w:rFonts w:hint="default"/>
                        <w:sz w:val="18"/>
                        <w:szCs w:val="24"/>
                      </w:rPr>
                    </w:pP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第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1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 xml:space="preserve">页 共 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begin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instrText xml:space="preserve"> NUMPAGES  \* MERGEFORMAT </w:instrTex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separate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>3</w:t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fldChar w:fldCharType="end"/>
                    </w:r>
                    <w:r>
                      <w:rPr>
                        <w:rFonts w:hint="default"/>
                        <w:sz w:val="18"/>
                        <w:szCs w:val="24"/>
                      </w:rPr>
                      <w:t xml:space="preserve"> </w:t>
                    </w:r>
                    <w:r>
                      <w:rPr>
                        <w:rFonts w:hint="default" w:ascii="宋体"/>
                        <w:sz w:val="18"/>
                        <w:szCs w:val="24"/>
                      </w:rPr>
                      <w:t>页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9F3708">
    <w:pPr>
      <w:pStyle w:val="3"/>
      <w:spacing w:beforeLines="0" w:afterLines="0"/>
      <w:jc w:val="center"/>
      <w:rPr>
        <w:rFonts w:hint="default"/>
        <w:sz w:val="18"/>
        <w:szCs w:val="24"/>
      </w:rPr>
    </w:pPr>
    <w:r>
      <w:rPr>
        <w:rFonts w:hint="default"/>
        <w:sz w:val="32"/>
        <w:szCs w:val="24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5074285</wp:posOffset>
              </wp:positionH>
              <wp:positionV relativeFrom="paragraph">
                <wp:posOffset>137795</wp:posOffset>
              </wp:positionV>
              <wp:extent cx="1287145" cy="285750"/>
              <wp:effectExtent l="0" t="0" r="8255" b="381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2857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02FFE28D">
                          <w:pPr>
                            <w:spacing w:beforeLines="0" w:afterLines="0"/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</w:pPr>
                          <w:r>
                            <w:rPr>
                              <w:rFonts w:hint="default" w:ascii="Times New Roman" w:hAnsi="Times New Roman"/>
                              <w:sz w:val="20"/>
                              <w:szCs w:val="22"/>
                            </w:rPr>
                            <w:t>SZ-434-2-06-2022</w:t>
                          </w:r>
                        </w:p>
                      </w:txbxContent>
                    </wps:txbx>
                    <wps:bodyPr vert="horz" wrap="square" anchor="t" anchorCtr="0" upright="1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99.55pt;margin-top:10.85pt;height:22.5pt;width:101.35pt;z-index:251661312;mso-width-relative:page;mso-height-relative:page;" fillcolor="#FFFFFF" filled="t" stroked="f" coordsize="21600,21600" o:gfxdata="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MBG3sjVAAAA&#10;CgEAAA8AAAAAAAAAAQAgAAAAIgAAAGRycy9kb3ducmV2LnhtbFBLAQIUABQAAAAIAIdO4kA89vIa&#10;5wEAALMDAAAOAAAAAAAAAAEAIAAAACQBAABkcnMvZTJvRG9jLnhtbFBLBQYAAAAABgAGAFkBAAB9&#10;BQAAAAA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02FFE28D">
                    <w:pPr>
                      <w:spacing w:beforeLines="0" w:afterLines="0"/>
                      <w:rPr>
                        <w:rFonts w:hint="default" w:ascii="Times New Roman" w:hAnsi="Times New Roman"/>
                        <w:sz w:val="20"/>
                        <w:szCs w:val="22"/>
                      </w:rPr>
                    </w:pPr>
                    <w:r>
                      <w:rPr>
                        <w:rFonts w:hint="default" w:ascii="Times New Roman" w:hAnsi="Times New Roman"/>
                        <w:sz w:val="20"/>
                        <w:szCs w:val="22"/>
                      </w:rPr>
                      <w:t>SZ-434-2-06-2022</w:t>
                    </w:r>
                  </w:p>
                </w:txbxContent>
              </v:textbox>
            </v:shape>
          </w:pict>
        </mc:Fallback>
      </mc:AlternateContent>
    </w:r>
    <w:r>
      <w:rPr>
        <w:rFonts w:hint="default"/>
        <w:sz w:val="32"/>
        <w:szCs w:val="48"/>
      </w:rPr>
      <w:drawing>
        <wp:anchor distT="0" distB="0" distL="114935" distR="114935" simplePos="0" relativeHeight="251659264" behindDoc="0" locked="0" layoutInCell="1" allowOverlap="1">
          <wp:simplePos x="0" y="0"/>
          <wp:positionH relativeFrom="column">
            <wp:posOffset>-281305</wp:posOffset>
          </wp:positionH>
          <wp:positionV relativeFrom="paragraph">
            <wp:posOffset>-228600</wp:posOffset>
          </wp:positionV>
          <wp:extent cx="1019810" cy="619760"/>
          <wp:effectExtent l="0" t="0" r="1270" b="5080"/>
          <wp:wrapNone/>
          <wp:docPr id="2" name="图片 1" descr="视正字母标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视正字母标"/>
                  <pic:cNvPicPr>
                    <a:picLocks noChangeAspect="1"/>
                  </pic:cNvPicPr>
                </pic:nvPicPr>
                <pic:blipFill>
                  <a:blip r:embed="rId1"/>
                  <a:srcRect l="6187" t="21786" r="7201" b="25600"/>
                  <a:stretch>
                    <a:fillRect/>
                  </a:stretch>
                </pic:blipFill>
                <pic:spPr>
                  <a:xfrm>
                    <a:off x="0" y="0"/>
                    <a:ext cx="1019810" cy="619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hint="default" w:ascii="宋体"/>
        <w:sz w:val="32"/>
        <w:szCs w:val="48"/>
      </w:rPr>
      <w:t xml:space="preserve">  常州视正检测有限公司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1"/>
    </o:shapelayout>
  </w:hdrShapeDefaults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NjYmQ1ZTA0ZDM5ZWQ2NzRmYzQ0MjEyN2RkMjI3YmMifQ=="/>
  </w:docVars>
  <w:rsids>
    <w:rsidRoot w:val="00172A27"/>
    <w:rsid w:val="1BA3317F"/>
    <w:rsid w:val="2CE33513"/>
    <w:rsid w:val="7C222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iPriority="0" w:semiHidden="0" w:name="header"/>
    <w:lsdException w:qFormat="1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0"/>
    <w:pPr>
      <w:widowControl w:val="0"/>
      <w:spacing w:beforeLines="0" w:afterLines="0"/>
      <w:jc w:val="both"/>
    </w:pPr>
    <w:rPr>
      <w:rFonts w:hint="default"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  <w:jc w:val="left"/>
    </w:pPr>
    <w:rPr>
      <w:rFonts w:hint="default"/>
      <w:sz w:val="18"/>
      <w:szCs w:val="24"/>
    </w:rPr>
  </w:style>
  <w:style w:type="paragraph" w:styleId="3">
    <w:name w:val="header"/>
    <w:basedOn w:val="1"/>
    <w:unhideWhenUsed/>
    <w:qFormat/>
    <w:uiPriority w:val="0"/>
    <w:pPr>
      <w:tabs>
        <w:tab w:val="center" w:pos="4153"/>
        <w:tab w:val="right" w:pos="8306"/>
      </w:tabs>
      <w:snapToGrid w:val="0"/>
      <w:spacing w:beforeLines="0" w:afterLines="0"/>
    </w:pPr>
    <w:rPr>
      <w:rFonts w:hint="default"/>
      <w:sz w:val="18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367</Words>
  <Characters>367</Characters>
  <Lines>0</Lines>
  <Paragraphs>0</Paragraphs>
  <TotalTime>0</TotalTime>
  <ScaleCrop>false</ScaleCrop>
  <LinksUpToDate>false</LinksUpToDate>
  <CharactersWithSpaces>370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2025-08-18T08:36:00Z</dcterms:created>
  <dc:creator>95609</dc:creator>
  <cp:lastModifiedBy>王冬冬</cp:lastModifiedBy>
  <dcterms:modified xsi:type="dcterms:W3CDTF">2025-10-10T06:12:40Z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082EE968637140E398F8BFD02C60D304_12</vt:lpwstr>
  </property>
</Properties>
</file>