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企业知识库问答（RAG）系统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上线交接说明 —— 致 IT / 安全团队</w:t>
      </w:r>
    </w:p>
    <w:p>
      <w:pPr>
        <w:spacing w:after="300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文档日期：2026-08-25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一、项目现状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本系统是一套已完成工程实现和本地技术验收的企业 RAG（检索增强生成）问答平台，支持多租户、多访问组 ACL、多知识库、混合检索（向量 + 数据库原生词法检索 + RRF 融合）、Cross-Encoder 重排、检索质量判断与自动纠错重试、来源引用、以及企业 SSO 对接能力。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本地自动化测试（83 项）、代码规范检查、六级数据库迁移链、Docker 完整技术栈（PostgreSQL/pgvector、Redis、ClamAV、API、Celery Worker）均已验证通过；100 题内置评测集在本地环境达到 100% 的召回率、答案正确率、引用准确率和拒答准确率。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结论：技术方案和本地验收已经完备，可以进入企业试点 / POC 阶段。但正式投入生产使用前，仍有若干事项依赖公司 IT、安全团队和业务负责人参与，本地代码和测试无法替代，详见下文清单。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二、已完成的本地技术验收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71+ 项自动化测试全部通过，代码规范（ruff）检查通过</w:t>
            </w:r>
          </w:p>
        </w:tc>
      </w:tr>
      <w:tr>
        <w:tc>
          <w:tcPr>
            <w:tcW w:type="dxa" w:w="9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Alembic 数据库迁移链从空库升级到最新版本，全部通过</w:t>
            </w:r>
          </w:p>
        </w:tc>
      </w:tr>
      <w:tr>
        <w:tc>
          <w:tcPr>
            <w:tcW w:type="dxa" w:w="9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OpenAPI 规范生成 25 个接口路径，结构稳定可核对</w:t>
            </w:r>
          </w:p>
        </w:tc>
      </w:tr>
      <w:tr>
        <w:tc>
          <w:tcPr>
            <w:tcW w:type="dxa" w:w="9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本地 OIDC 真实 RSA/JWKS 预演：签名、受众、租户、用户组、角色及拒绝路径均正确</w:t>
            </w:r>
          </w:p>
        </w:tc>
      </w:tr>
      <w:tr>
        <w:tc>
          <w:tcPr>
            <w:tcW w:type="dxa" w:w="9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同租户跨用户组隔离、跨租户隔离、提示注入检测、限流、安全响应头验证通过</w:t>
            </w:r>
          </w:p>
        </w:tc>
      </w:tr>
      <w:tr>
        <w:tc>
          <w:tcPr>
            <w:tcW w:type="dxa" w:w="9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ClamAV 阳性测试样本被正确拒绝（HTTP 400）</w:t>
            </w:r>
          </w:p>
        </w:tc>
      </w:tr>
      <w:tr>
        <w:tc>
          <w:tcPr>
            <w:tcW w:type="dxa" w:w="9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pip-audit 依赖漏洞扫描无已知漏洞</w:t>
            </w:r>
          </w:p>
        </w:tc>
      </w:tr>
      <w:tr>
        <w:tc>
          <w:tcPr>
            <w:tcW w:type="dxa" w:w="9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Docker 完整技术栈端到端链路验证通过（上传 → 异步入库 → 向量化 → 检索 → 回答 → 引用）</w:t>
            </w:r>
          </w:p>
        </w:tc>
      </w:tr>
      <w:tr>
        <w:tc>
          <w:tcPr>
            <w:tcW w:type="dxa" w:w="9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数据库与文件备份 / 恢复演练完成，恢复前后内容指纹一致</w:t>
            </w:r>
          </w:p>
        </w:tc>
      </w:tr>
      <w:tr>
        <w:tc>
          <w:tcPr>
            <w:tcW w:type="dxa" w:w="9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✓  轻量压力测试（20~100 请求、5~10 并发）全部成功，错误率为 0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三、正式上线前必须完成的事项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以下事项依赖公司账号、真实数据、目标基础设施或专业审核人员，本地环境无法代替签字确认：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53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 / 负责方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企业 OIDC 联调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使用公司真实身份提供商（而非本地模拟 JWKS）完成登录、撤权、跨租户测试。对接参数与验收步骤见《SSO 接入说明》。负责方：IT / 身份团队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目标基础设施联调</w:t>
            </w:r>
          </w:p>
        </w:tc>
        <w:tc>
          <w:tcPr>
            <w:tcW w:type="dxa" w:w="5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在公司正式的托管 PostgreSQL/pgvector、Redis、ClamAV、密钥管理系统和模型网关上完成联调，替换当前本地 Docker Compose 环境。负责方：IT / 运维团队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真实业务数据验证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导入实际部门资料（替换示例文档），由业务负责人确认检索召回率是否达到可用标准。负责方：业务部门 + 项目组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真实峰值并发压测</w:t>
            </w:r>
          </w:p>
        </w:tc>
        <w:tc>
          <w:tcPr>
            <w:tcW w:type="dxa" w:w="5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按公司实际预估并发量运行压力测试，重新确认 P95 延迟、错误率和模型调用成本预算（当前仅验证 20~100 请求量级）。负责方：IT / 运维团队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正式 RPO / RTO 签署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按公司备份介质、保留策略和加密要求，正式签署恢复点目标和恢复时间目标。负责方：IT / 运维团队</w:t>
            </w:r>
          </w:p>
        </w:tc>
      </w:tr>
      <w:tr>
        <w:tc>
          <w:tcPr>
            <w:tcW w:type="dxa" w:w="9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未完成</w:t>
            </w:r>
          </w:p>
        </w:tc>
        <w:tc>
          <w:tcPr>
            <w:tcW w:type="dxa" w:w="32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外部安全渗透测试</w:t>
            </w:r>
          </w:p>
        </w:tc>
        <w:tc>
          <w:tcPr>
            <w:tcW w:type="dxa" w:w="53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20"/>
                <w:szCs w:val="20"/>
              </w:rPr>
              <w:t xml:space="preserve">由公司安全团队或第三方机构执行渗透测试和最终权限审计，本地安全自测不能替代。负责方：安全团队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四、关键配置与文档索引</w:t>
      </w:r>
    </w:p>
    <w:p>
      <w:pPr>
        <w:spacing w:after="140" w:line="30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以下文档已在代码仓库中提供，建议对接前逐项阅读：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《SSO 接入说明》(docs/SSO.md) —— OIDC 环境变量、令牌校验规则、上线前 5 项验收标准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《安全基线》(docs/SECURITY.md) —— 已实施的安全机制、失败关闭策略、部署要求（TLS、密钥管理、数据库只读账号等）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《生产运维手册》(docs/OPERATIONS.md) —— 发布流程、监控告警阈值、数据库备份恢复、容量规划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《完整任务状态》(TASKS.md) —— 全部里程碑明细和自动化验收结果原始记录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五、建议的下一步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由项目组安排一次与 IT / 安全团队的对接会，逐项过一遍第三节清单，明确各事项的负责人和时间表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优先推进 OIDC 联调和目标基础设施联调 —— 这两项是后续所有验证（数据、压测、审计）的前提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业务部门确定用于验证召回率的真实资料范围（建议先选 1～2 个部门试点，而非一次性全量导入）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YaHei" w:cs="Microsoft YaHei" w:eastAsia="Microsoft YaHei" w:hAnsi="Microsoft YaHei"/>
          <w:color w:val="262626"/>
          <w:sz w:val="21"/>
          <w:szCs w:val="21"/>
        </w:rPr>
        <w:t xml:space="preserve">安全渗透测试建议在 OIDC 和基础设施联调完成后、真实数据导入之前进行，避免真实业务数据过早暴露在未审计环境中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2026-08-25T01:09:32.311Z</dcterms:created>
  <dcterms:modified xsi:type="dcterms:W3CDTF">2026-08-25T01:09:32.312Z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