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F79B0E0" w:rsidR="0036507D" w:rsidRPr="00482EEA" w:rsidRDefault="00A573CE">
            <w:pPr>
              <w:cnfStyle w:val="000000100000" w:firstRow="0" w:lastRow="0" w:firstColumn="0" w:lastColumn="0" w:oddVBand="0" w:evenVBand="0" w:oddHBand="1" w:evenHBand="0" w:firstRowFirstColumn="0" w:firstRowLastColumn="0" w:lastRowFirstColumn="0" w:lastRowLastColumn="0"/>
            </w:pPr>
            <w:r>
              <w:t>Suspect that this field does not actually work.</w:t>
            </w: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lastRenderedPageBreak/>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r>
              <w:t xml:space="preserve">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669D4D18" w14:textId="27BC8498"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r w:rsidR="00A573CE" w:rsidRPr="00482EEA" w14:paraId="2FF4FA1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A573CE" w:rsidRDefault="00A573CE" w:rsidP="008B4056">
            <w:r>
              <w:t>Religion</w:t>
            </w:r>
          </w:p>
        </w:tc>
        <w:tc>
          <w:tcPr>
            <w:tcW w:w="5130" w:type="dxa"/>
          </w:tcPr>
          <w:p w14:paraId="4F35B9E8" w14:textId="3290EABD" w:rsidR="00A573CE" w:rsidRPr="00D61AFE" w:rsidRDefault="00A573CE" w:rsidP="008B4056">
            <w:pPr>
              <w:cnfStyle w:val="000000100000" w:firstRow="0" w:lastRow="0" w:firstColumn="0" w:lastColumn="0" w:oddVBand="0" w:evenVBand="0" w:oddHBand="1" w:evenHBand="0" w:firstRowFirstColumn="0" w:firstRowLastColumn="0" w:lastRowFirstColumn="0" w:lastRowLastColumn="0"/>
            </w:pPr>
            <w:r>
              <w:t>Written to Demographics rollup.</w:t>
            </w:r>
          </w:p>
        </w:tc>
        <w:tc>
          <w:tcPr>
            <w:tcW w:w="1260" w:type="dxa"/>
          </w:tcPr>
          <w:p w14:paraId="5B29EB2C" w14:textId="0AF2B395" w:rsidR="00A573CE" w:rsidRDefault="00A573CE"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22FD46B" w14:textId="5B00B13E" w:rsidR="00A573CE" w:rsidRDefault="00A573CE" w:rsidP="008B4056">
            <w:pPr>
              <w:cnfStyle w:val="000000100000" w:firstRow="0" w:lastRow="0" w:firstColumn="0" w:lastColumn="0" w:oddVBand="0" w:evenVBand="0" w:oddHBand="1" w:evenHBand="0" w:firstRowFirstColumn="0" w:firstRowLastColumn="0" w:lastRowFirstColumn="0" w:lastRowLastColumn="0"/>
            </w:pPr>
            <w:r>
              <w:t>SQL</w:t>
            </w:r>
          </w:p>
        </w:tc>
      </w:tr>
      <w:tr w:rsidR="00FB53D6" w:rsidRPr="00482EEA" w14:paraId="759AB36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FB53D6" w:rsidRDefault="00FB53D6" w:rsidP="008B4056">
            <w:r>
              <w:t>Scholarships</w:t>
            </w:r>
          </w:p>
        </w:tc>
        <w:tc>
          <w:tcPr>
            <w:tcW w:w="5130" w:type="dxa"/>
          </w:tcPr>
          <w:p w14:paraId="49516B48" w14:textId="7E80F3CD" w:rsidR="00FB53D6" w:rsidRDefault="00FB53D6" w:rsidP="00FB53D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FB53D6" w:rsidRDefault="00FB53D6"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6C4C3DC" w14:textId="53CB354D" w:rsidR="00FB53D6" w:rsidRDefault="00FB53D6" w:rsidP="008B4056">
            <w:pPr>
              <w:cnfStyle w:val="000000000000" w:firstRow="0" w:lastRow="0" w:firstColumn="0" w:lastColumn="0" w:oddVBand="0" w:evenVBand="0" w:oddHBand="0"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P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lastRenderedPageBreak/>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lastRenderedPageBreak/>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6976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AB79" w14:textId="77777777" w:rsidR="00FA1E0B" w:rsidRDefault="00FA1E0B" w:rsidP="00336C18">
      <w:pPr>
        <w:spacing w:after="0" w:line="240" w:lineRule="auto"/>
      </w:pPr>
      <w:r>
        <w:separator/>
      </w:r>
    </w:p>
  </w:endnote>
  <w:endnote w:type="continuationSeparator" w:id="0">
    <w:p w14:paraId="4A9A99A9" w14:textId="77777777" w:rsidR="00FA1E0B" w:rsidRDefault="00FA1E0B"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E8FA" w14:textId="77777777" w:rsidR="00FA1E0B" w:rsidRDefault="00FA1E0B" w:rsidP="00336C18">
      <w:pPr>
        <w:spacing w:after="0" w:line="240" w:lineRule="auto"/>
      </w:pPr>
      <w:r>
        <w:separator/>
      </w:r>
    </w:p>
  </w:footnote>
  <w:footnote w:type="continuationSeparator" w:id="0">
    <w:p w14:paraId="5B22950C" w14:textId="77777777" w:rsidR="00FA1E0B" w:rsidRDefault="00FA1E0B"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452840BB" w:rsidR="00336C18" w:rsidRDefault="00336C18" w:rsidP="00336C18">
    <w:pPr>
      <w:pStyle w:val="Header"/>
      <w:jc w:val="right"/>
    </w:pPr>
    <w:r w:rsidRPr="00336C18">
      <w:t xml:space="preserve">Updated </w:t>
    </w:r>
    <w:r w:rsidR="00124DCD">
      <w:t>202</w:t>
    </w:r>
    <w:r w:rsidR="000C71F0">
      <w:t>3</w:t>
    </w:r>
    <w:r w:rsidR="00124DCD">
      <w:t>-</w:t>
    </w:r>
    <w:r w:rsidR="00A573CE">
      <w:t>1</w:t>
    </w:r>
    <w:r w:rsidR="00FB53D6">
      <w:t>1-08</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131B"/>
    <w:rsid w:val="00205502"/>
    <w:rsid w:val="00207FDF"/>
    <w:rsid w:val="002557E2"/>
    <w:rsid w:val="002746CF"/>
    <w:rsid w:val="002836D3"/>
    <w:rsid w:val="00287652"/>
    <w:rsid w:val="00295E67"/>
    <w:rsid w:val="002C31BF"/>
    <w:rsid w:val="002E72E8"/>
    <w:rsid w:val="00336C18"/>
    <w:rsid w:val="0036507D"/>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912F1E"/>
    <w:rsid w:val="00925CD1"/>
    <w:rsid w:val="009A432C"/>
    <w:rsid w:val="00A35965"/>
    <w:rsid w:val="00A573CE"/>
    <w:rsid w:val="00A663C0"/>
    <w:rsid w:val="00AB2505"/>
    <w:rsid w:val="00BC71D0"/>
    <w:rsid w:val="00C2320D"/>
    <w:rsid w:val="00C27A13"/>
    <w:rsid w:val="00C31B18"/>
    <w:rsid w:val="00C40814"/>
    <w:rsid w:val="00C50E9E"/>
    <w:rsid w:val="00C6684C"/>
    <w:rsid w:val="00CC1A80"/>
    <w:rsid w:val="00CE2168"/>
    <w:rsid w:val="00CF2BDF"/>
    <w:rsid w:val="00D60055"/>
    <w:rsid w:val="00D61AFE"/>
    <w:rsid w:val="00DB2F6A"/>
    <w:rsid w:val="00DB32F9"/>
    <w:rsid w:val="00DC3BC0"/>
    <w:rsid w:val="00DE275F"/>
    <w:rsid w:val="00DE74FA"/>
    <w:rsid w:val="00EB6E74"/>
    <w:rsid w:val="00ED2F98"/>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40</cp:revision>
  <dcterms:created xsi:type="dcterms:W3CDTF">2020-09-25T03:15:00Z</dcterms:created>
  <dcterms:modified xsi:type="dcterms:W3CDTF">2023-11-08T22:16:00Z</dcterms:modified>
</cp:coreProperties>
</file>