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POLS 110: Moot Court (Fall 2022) </w:t>
      </w:r>
    </w:p>
    <w:p>
      <w:pPr>
        <w:autoSpaceDN w:val="0"/>
        <w:autoSpaceDE w:val="0"/>
        <w:widowControl/>
        <w:spacing w:line="271" w:lineRule="auto" w:before="372" w:after="0"/>
        <w:ind w:left="0" w:right="302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Meeting times: Mondays 3pm-4pm </w:t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or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Thursdays 11am-12pm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Classroom: CSB 277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Instructor: Andre P. Audette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Email: aaudette@monmouthcollege.edu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Andre’s Office: CSB 330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Office Hours: 2-3pm M-F, and by appointment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Credit: 0.25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Description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16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course is for all students who plan to participate in the annual Monmouth College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moot court competition and/or the legal brief writing competition. We will discuss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procedure of these competitions, the selected case, and related legal concepts (for example: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scrutiny levels, constitutional interpretation, legal reasoning, etc.). As part of the course,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must participate in either the moot court competition, the legal brief writing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competition, or both. </w:t>
      </w:r>
    </w:p>
    <w:p>
      <w:pPr>
        <w:autoSpaceDN w:val="0"/>
        <w:autoSpaceDE w:val="0"/>
        <w:widowControl/>
        <w:spacing w:line="240" w:lineRule="auto" w:before="33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Objectives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62" w:after="0"/>
        <w:ind w:left="360" w:right="432" w:hanging="36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successfully completing this course, you will be able to better: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Understand moot court procedures and practices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Read, analyze, and critically evaluate the selected case and its legal reasoning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Synthesize and intelligently express legal arguments, both orally and in writing </w:t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Readings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64" w:after="0"/>
        <w:ind w:left="360" w:right="720" w:hanging="36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are not required to purchase any texts for this course. You are expected to read: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moot court case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moot court case guide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All other class handouts </w:t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Requirements/Attendance Policy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64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is a participation course. You must attend all class meetings or you will not receive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credit for the course. You are permitted one unexcused absence but you must make up all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work for the day that you miss. If you do miss a class, contact Andre to arrange what work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must be made up. </w:t>
      </w:r>
    </w:p>
    <w:p>
      <w:pPr>
        <w:autoSpaceDN w:val="0"/>
        <w:autoSpaceDE w:val="0"/>
        <w:widowControl/>
        <w:spacing w:line="257" w:lineRule="auto" w:before="242" w:after="0"/>
        <w:ind w:left="0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you must sign up to participate in either the brief writing competition or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oral arguments competition scheduled for later this semester. </w:t>
      </w:r>
    </w:p>
    <w:p>
      <w:pPr>
        <w:sectPr>
          <w:pgSz w:w="12240" w:h="15840"/>
          <w:pgMar w:top="720" w:right="1398" w:bottom="844" w:left="1440" w:header="720" w:footer="720" w:gutter="0"/>
          <w:cols w:space="720" w:num="1" w:equalWidth="0">
            <w:col w:w="94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COVID Statement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4" w:lineRule="auto" w:before="14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semester presents many uncertain circumstances due to the ongoing pandemic.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policies and schedule outlined in this syllabus are subject to change, and I will do my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provide advance notice for any such changes. Likewise, should your ability to fully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in the class change over the course of the semester, please reach out to 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can discuss the best options for moving forward. We’re all in this together! </w:t>
      </w:r>
    </w:p>
    <w:p>
      <w:pPr>
        <w:autoSpaceDN w:val="0"/>
        <w:autoSpaceDE w:val="0"/>
        <w:widowControl/>
        <w:spacing w:line="240" w:lineRule="auto" w:before="66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Engagement Expectations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164" w:after="0"/>
        <w:ind w:left="360" w:right="331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 activities (1 hour/week)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Study/practice of legal arguments (2 hours/week) </w:t>
      </w:r>
    </w:p>
    <w:p>
      <w:pPr>
        <w:autoSpaceDN w:val="0"/>
        <w:autoSpaceDE w:val="0"/>
        <w:widowControl/>
        <w:spacing w:line="240" w:lineRule="auto" w:before="36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Total: 3 hours/week </w:t>
      </w:r>
    </w:p>
    <w:p>
      <w:pPr>
        <w:autoSpaceDN w:val="0"/>
        <w:autoSpaceDE w:val="0"/>
        <w:widowControl/>
        <w:spacing w:line="240" w:lineRule="auto" w:before="49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Policies and Additional Resources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22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Academic Honesty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It is your responsibility to be familiar with and uphold the academic honesty policy of MC, </w:t>
      </w:r>
      <w:r>
        <w:rPr>
          <w:rFonts w:ascii="Cambria" w:hAnsi="Cambria" w:eastAsia="Cambria"/>
          <w:b w:val="0"/>
          <w:i w:val="0"/>
          <w:color w:val="000000"/>
          <w:sz w:val="24"/>
        </w:rPr>
        <w:t>as defined in the Scots Guide (https://www.monmouthcollege.edu/offices/student-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affairs/academic-regulations/). Any student found to have violated these policies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integrity will receive a failing grade on the assignment and may be subject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further penalties by the College, including suspension or expulsion. If you have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about avoiding plagiarism or any of the other policies, please come talk to me. </w:t>
      </w:r>
    </w:p>
    <w:p>
      <w:pPr>
        <w:autoSpaceDN w:val="0"/>
        <w:autoSpaceDE w:val="0"/>
        <w:widowControl/>
        <w:spacing w:line="257" w:lineRule="auto" w:before="32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Accessibility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 disability or had academic accommodations in high school or another college,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may be eligible for academic accommodations at Monmouth College under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Americans with Disabilities Act (ADA). Monmouth College is committed to equal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educational access. To discuss any of the services offered, please call or meet with Jennifer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Sanberg, Associate Director of Academic Support &amp; Accessibility Services. The ASAS office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is located in the ACE space on the first floor of the Hewes Library. They can be reached at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309-457-2257 or via email at academicsupport@monmouthcollege.edu. </w:t>
      </w:r>
    </w:p>
    <w:p>
      <w:pPr>
        <w:autoSpaceDN w:val="0"/>
        <w:autoSpaceDE w:val="0"/>
        <w:widowControl/>
        <w:spacing w:line="257" w:lineRule="auto" w:before="32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Counseling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Monmouth College provides cost-free, professional and confidential counseling sessions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support you and to help you manage challenges that may impact your personal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success. The Counseling Center is located in the upper level of Poling Hall, offices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204 and 216, and the hours are Monday-Friday, 8:30am-5:00pm. To request a confidential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appointment online, go to https://titanium.monmouthcollege.edu/ or email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counselingcenter@monmouthcollege.edu, Cindy Beadles at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cbeadles@monmouthcollege.edu or Tom Caudill at tcaudill@monmouthcollege.edu. </w:t>
      </w:r>
    </w:p>
    <w:p>
      <w:pPr>
        <w:sectPr>
          <w:pgSz w:w="12240" w:h="15840"/>
          <w:pgMar w:top="720" w:right="1440" w:bottom="762" w:left="1440" w:header="720" w:footer="720" w:gutter="0"/>
          <w:cols w:space="720" w:num="1" w:equalWidth="0">
            <w:col w:w="9360" w:space="0"/>
            <w:col w:w="94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Moot Court Tutoring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 am very happy to meet with you one-on-one to work through the details of the case or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provide additional tutoring in preparation for moot court. There will also be additional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public tutoring sessions available to all participants in the moot court competition. You are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invited and encouraged to take part in those sessions, even as they will replicate much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what we do in this course. </w:t>
      </w:r>
    </w:p>
    <w:p>
      <w:pPr>
        <w:autoSpaceDN w:val="0"/>
        <w:tabs>
          <w:tab w:pos="360" w:val="left"/>
        </w:tabs>
        <w:autoSpaceDE w:val="0"/>
        <w:widowControl/>
        <w:spacing w:line="367" w:lineRule="auto" w:before="920" w:after="0"/>
        <w:ind w:left="0" w:right="576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 xml:space="preserve">Course Topics and Schedule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Aug. 29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Introductions, overview of MC moot court competitions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Sept.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Oral argument procedure and brief writing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Sept.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Introducing the case and its legal background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Complete at least a first read of the case and case guide before this class period </w:t>
      </w:r>
      <w:r>
        <w:rPr>
          <w:rFonts w:ascii="Cambria" w:hAnsi="Cambria" w:eastAsia="Cambria"/>
          <w:b w:val="0"/>
          <w:i/>
          <w:color w:val="000000"/>
          <w:sz w:val="24"/>
        </w:rPr>
        <w:t>Week of Sept.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arguments (Petitioners)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Complete a detailed read of the petitioners’ arguments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Sept.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arguments (Respondents)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Complete a detailed read of the respondents’ arguments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Catch-up week and practice moot court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17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Practice moot court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Week of Oct.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Individual meetings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Oct. 29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Moot court preliminary round and brief writing competition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Nov.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Moot court finals round </w:t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 w:equalWidth="0">
        <w:col w:w="9360" w:space="0"/>
        <w:col w:w="9360" w:space="0"/>
        <w:col w:w="94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