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EventFlow 测试与验收方案</w:t>
      </w:r>
    </w:p>
    <w:p>
      <w:pPr>
        <w:spacing w:after="360"/>
      </w:pPr>
      <w:r>
        <w:rPr>
          <w:rFonts w:ascii="Calibri" w:hAnsi="Calibri" w:eastAsia="Microsoft YaHei"/>
          <w:color w:val="595959"/>
          <w:sz w:val="21"/>
        </w:rPr>
        <w:t>功能、并发、一致性与上线验收 | 版本 1.0</w:t>
      </w:r>
    </w:p>
    <w:p>
      <w:pPr>
        <w:pStyle w:val="Heading1"/>
      </w:pPr>
      <w:r>
        <w:t>1. 测试范围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类别</w:t>
            </w:r>
          </w:p>
        </w:tc>
        <w:tc>
          <w:tcPr>
            <w:tcW w:type="dxa" w:w="726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必须覆盖的风险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功能测试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活动发布、报名、确认、取消、候补、签到、权限和后台查询。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接口测试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参数校验、鉴权、幂等 requestId、状态冲突、重复提交和错误码。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并发测试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多个用户抢同一场次；同一用户并发提交；名额耗尽与候补入队。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一致性测试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Redis 预扣、MQ 落库、失败重试、死信和补偿任务对账。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安全与可靠性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JWT 过期、越权、敏感字段脱敏、日志审计、重启后任务恢复。</w:t>
            </w:r>
          </w:p>
        </w:tc>
      </w:tr>
    </w:tbl>
    <w:p>
      <w:pPr>
        <w:spacing w:after="40"/>
      </w:pPr>
    </w:p>
    <w:p>
      <w:pPr>
        <w:pStyle w:val="Heading1"/>
      </w:pPr>
      <w:r>
        <w:t>2. P0 验收用例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331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场景</w:t>
            </w:r>
          </w:p>
        </w:tc>
        <w:tc>
          <w:tcPr>
            <w:tcW w:type="dxa" w:w="505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预期结果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REG-001</w:t>
            </w:r>
          </w:p>
        </w:tc>
        <w:tc>
          <w:tcPr>
            <w:tcW w:type="dxa" w:w="33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100 个名额下发起超过 100 个并发报名</w:t>
            </w:r>
          </w:p>
        </w:tc>
        <w:tc>
          <w:tcPr>
            <w:tcW w:type="dxa" w:w="5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成功确认和保留总数不超过 100；其余请求进入候补或返回满额。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REG-002</w:t>
            </w:r>
          </w:p>
        </w:tc>
        <w:tc>
          <w:tcPr>
            <w:tcW w:type="dxa" w:w="33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同一用户以相同或不同 requestId 重复提交</w:t>
            </w:r>
          </w:p>
        </w:tc>
        <w:tc>
          <w:tcPr>
            <w:tcW w:type="dxa" w:w="5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只生成一条有效报名或候补记录；重复请求返回原处理结果。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REG-003</w:t>
            </w:r>
          </w:p>
        </w:tc>
        <w:tc>
          <w:tcPr>
            <w:tcW w:type="dxa" w:w="33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用户保留后 10 分钟未确认</w:t>
            </w:r>
          </w:p>
        </w:tc>
        <w:tc>
          <w:tcPr>
            <w:tcW w:type="dxa" w:w="5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报名转为 EXPIRED，Redis 名额回补，必要时递补候补用户。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REG-004</w:t>
            </w:r>
          </w:p>
        </w:tc>
        <w:tc>
          <w:tcPr>
            <w:tcW w:type="dxa" w:w="33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已确认用户取消报名</w:t>
            </w:r>
          </w:p>
        </w:tc>
        <w:tc>
          <w:tcPr>
            <w:tcW w:type="dxa" w:w="5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报名转为 CANCELLED，名额释放，并按顺序通知候补用户。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REG-005</w:t>
            </w:r>
          </w:p>
        </w:tc>
        <w:tc>
          <w:tcPr>
            <w:tcW w:type="dxa" w:w="33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MQ 消费失败并重试</w:t>
            </w:r>
          </w:p>
        </w:tc>
        <w:tc>
          <w:tcPr>
            <w:tcW w:type="dxa" w:w="5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不会重复落库；重试耗尽后进入死信并可由补偿任务处理。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REG-006</w:t>
            </w:r>
          </w:p>
        </w:tc>
        <w:tc>
          <w:tcPr>
            <w:tcW w:type="dxa" w:w="33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扫码签到与重复扫码</w:t>
            </w:r>
          </w:p>
        </w:tc>
        <w:tc>
          <w:tcPr>
            <w:tcW w:type="dxa" w:w="50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仅 CONFIRMED 记录可签到；重复扫码不产生第二条签到记录。</w:t>
            </w:r>
          </w:p>
        </w:tc>
      </w:tr>
    </w:tbl>
    <w:p>
      <w:pPr>
        <w:spacing w:after="40"/>
      </w:pPr>
    </w:p>
    <w:p>
      <w:pPr>
        <w:pStyle w:val="Heading1"/>
      </w:pPr>
      <w:r>
        <w:t>3. 压测策略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准备固定场次、固定名额和独立压测用户；压测环境不得连接生产数据库或消息队列。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分别测试单用户重复点击、多用户并发报名、热点场次满额和 MQ 消费积压。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记录吞吐量、P95/P99 响应时间、错误率、Redis/MQ/MySQL 指标、名额差异与补偿次数。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压测结束后执行对账：有效报名数 + 有效保留数 + 可用名额应等于场次总容量。</w:t>
      </w:r>
    </w:p>
    <w:p>
      <w:pPr>
        <w:pStyle w:val="Heading1"/>
      </w:pPr>
      <w:r>
        <w:t>4. 上线验收门槛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P0 用例全部通过，无阻塞级缺陷；关键缺陷均有验证过的修复记录。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并发报名不发生超卖和重复报名；异常注入后可通过重试、死信或补偿恢复。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备份、回滚、日志、监控和告警方式已验证；管理员可查询关键操作和异常事件。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前端在桌面与移动浏览器中完成主链路验证，含 loading、错误、空状态与防重复点击。</w:t>
      </w:r>
    </w:p>
    <w:p>
      <w:pPr>
        <w:pStyle w:val="Heading1"/>
      </w:pPr>
      <w:r>
        <w:t>5. 已确认的压测与验收基线</w:t>
      </w:r>
    </w:p>
    <w:p>
      <w:pPr>
        <w:spacing w:after="160"/>
      </w:pPr>
      <w:r>
        <w:rPr>
          <w:rFonts w:ascii="Calibri" w:hAnsi="Calibri" w:eastAsia="Microsoft YaHei"/>
          <w:b w:val="0"/>
          <w:sz w:val="20"/>
        </w:rPr>
        <w:t>修订说明：以下项目是 MVP 上线前必须验证的不可变约束。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验收项</w:t>
            </w:r>
          </w:p>
        </w:tc>
        <w:tc>
          <w:tcPr>
            <w:tcW w:type="dxa" w:w="691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通过标准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并发报名</w:t>
            </w:r>
          </w:p>
        </w:tc>
        <w:tc>
          <w:tcPr>
            <w:tcW w:type="dxa" w:w="69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单场次 1,000 个并发报名请求下，系统无超卖、无重复报名，报名结果可查询。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名额守恒</w:t>
            </w:r>
          </w:p>
        </w:tc>
        <w:tc>
          <w:tcPr>
            <w:tcW w:type="dxa" w:w="69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任一时刻：可用名额 + RESERVED 数量 + CONFIRMED 数量 = 场次总容量。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取消窗口</w:t>
            </w:r>
          </w:p>
        </w:tc>
        <w:tc>
          <w:tcPr>
            <w:tcW w:type="dxa" w:w="69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活动开始前 24 小时内可取消；超过窗口普通用户接口被拒绝，管理员异常操作留痕。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候补递补</w:t>
            </w:r>
          </w:p>
        </w:tc>
        <w:tc>
          <w:tcPr>
            <w:tcW w:type="dxa" w:w="69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释放名额后仅最早有效候补获得 10 分钟保留资格；并发释放时不出现重复递补。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签到幂等</w:t>
            </w:r>
          </w:p>
        </w:tc>
        <w:tc>
          <w:tcPr>
            <w:tcW w:type="dxa" w:w="69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动态二维码过期或非 CONFIRMED 用户不可签到；同一报名重复扫码只保留一条签到记录。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7"/>
      </w:rPr>
      <w:t>EventFlow | 2026-07-31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