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部署与交付方案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Docker Compose 与 Nginx 部署基线 | 版本 1.0</w:t>
      </w:r>
    </w:p>
    <w:p>
      <w:pPr>
        <w:pStyle w:val="Heading1"/>
      </w:pPr>
      <w:r>
        <w:t>1. 部署拓扑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组件</w:t>
            </w:r>
          </w:p>
        </w:tc>
        <w:tc>
          <w:tcPr>
            <w:tcW w:type="dxa" w:w="367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  <w:tc>
          <w:tcPr>
            <w:tcW w:type="dxa" w:w="379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生产要求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eventflow-web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React 静态资源与反向代理入口。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Nginx 提供 HTTPS、SPA 回退、静态缓存与 /api 代理。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eventflow-api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Spring Boot 模块化单体应用。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通过环境变量读取连接信息；提供健康检查与结构化日志。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mysql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业务数据、Flyway 版本与 outbox 事件。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持久化数据卷、最小权限账号、定期备份与恢复演练。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redis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名额、幂等、候补队列和缓存。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持久化策略、内存阈值、访问认证与监控。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rabbitmq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报名、过期、通知与补偿事件。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持久化队列、死信队列、管理告警与消费者监控。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minio（可选）</w:t>
            </w:r>
          </w:p>
        </w:tc>
        <w:tc>
          <w:tcPr>
            <w:tcW w:type="dxa" w:w="367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活动封面、二维码等对象存储。</w:t>
            </w:r>
          </w:p>
        </w:tc>
        <w:tc>
          <w:tcPr>
            <w:tcW w:type="dxa" w:w="37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桶权限隔离、生命周期策略与备份。</w:t>
            </w:r>
          </w:p>
        </w:tc>
      </w:tr>
    </w:tbl>
    <w:p>
      <w:pPr>
        <w:spacing w:after="40"/>
      </w:pPr>
    </w:p>
    <w:p>
      <w:pPr>
        <w:pStyle w:val="Heading1"/>
      </w:pPr>
      <w:r>
        <w:t>2. 环境配置原则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禁止将密码、JWT 密钥、MQ 账号、对象存储密钥和域名写入仓库；通过 .env 或部署平台密钥注入。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本地、测试、生产使用独立数据库、Redis、MQ 虚拟主机和存储桶；禁止跨环境连接。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Flyway 是唯一的数据库结构变更入口；生产禁止手工修改表结构。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服务启动时校验配置完整性，健康检查需覆盖 MySQL、Redis 和 RabbitMQ 连接状态。</w:t>
      </w:r>
    </w:p>
    <w:p>
      <w:pPr>
        <w:pStyle w:val="Heading1"/>
      </w:pPr>
      <w:r>
        <w:t>3. 发布流程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合并经过代码评审和自动化测试的版本，生成可追溯的 Git 标签与构建产物。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在测试环境执行 Flyway 迁移、服务部署和冒烟测试，确认报名主链路与监控数据。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备份生产数据库和当前镜像版本，记录本次发布版本、变更项与回滚版本。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按顺序执行数据库迁移、后端镜像更新、前端静态资源发布与 Nginx reload。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验证健康检查、登录、活动查询、报名、MQ 消费和管理员审计日志。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异常时按预案回滚应用镜像；涉及数据迁移时使用预先演练的向后兼容或回滚脚本。</w:t>
      </w:r>
    </w:p>
    <w:p>
      <w:pPr>
        <w:pStyle w:val="Heading1"/>
      </w:pPr>
      <w:r>
        <w:t>4. 监控与告警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告警条件</w:t>
            </w:r>
          </w:p>
        </w:tc>
        <w:tc>
          <w:tcPr>
            <w:tcW w:type="dxa" w:w="41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处置方向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报名失败率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短时间超过阈值</w:t>
            </w:r>
          </w:p>
        </w:tc>
        <w:tc>
          <w:tcPr>
            <w:tcW w:type="dxa" w:w="4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检查 API 错误、Redis Lua 返回码和 MQ 状态。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名额对账差异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场次容量不守恒</w:t>
            </w:r>
          </w:p>
        </w:tc>
        <w:tc>
          <w:tcPr>
            <w:tcW w:type="dxa" w:w="4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暂停异常场次，运行补偿并审计差异。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MQ 堆积或死信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消息持续增长或出现死信</w:t>
            </w:r>
          </w:p>
        </w:tc>
        <w:tc>
          <w:tcPr>
            <w:tcW w:type="dxa" w:w="4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检查消费者、重试原因与幂等记录。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服务健康检查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依赖不可用或响应超时</w:t>
            </w:r>
          </w:p>
        </w:tc>
        <w:tc>
          <w:tcPr>
            <w:tcW w:type="dxa" w:w="4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按依赖类型降级、恢复或回滚。</w:t>
            </w:r>
          </w:p>
        </w:tc>
      </w:tr>
    </w:tbl>
    <w:p>
      <w:pPr>
        <w:spacing w:after="40"/>
      </w:pPr>
    </w:p>
    <w:p>
      <w:pPr>
        <w:pStyle w:val="Heading1"/>
      </w:pPr>
      <w:r>
        <w:t>5. 交付清单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前后端源码、Dockerfile、docker-compose 配置、Nginx 配置样例和环境变量模板。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Flyway 迁移脚本、初始化示例数据、OpenAPI 文档与管理员账号初始化说明。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测试报告、压测报告、发布记录、回滚方案、监控告警说明和操作手册。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| 2026-07-31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