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0A1A20"/>
          <w:sz w:val="44"/>
        </w:rPr>
        <w:t>EventFlow UI 与交互设计规范</w:t>
      </w:r>
    </w:p>
    <w:p>
      <w:pPr>
        <w:spacing w:after="360"/>
      </w:pPr>
      <w:r>
        <w:rPr>
          <w:rFonts w:ascii="Calibri" w:hAnsi="Calibri" w:eastAsia="Microsoft YaHei"/>
          <w:color w:val="5D6F76"/>
          <w:sz w:val="21"/>
        </w:rPr>
        <w:t>设计方向：未来文明活动入口 | UI 概念版本 4.0</w:t>
      </w:r>
    </w:p>
    <w:p>
      <w:pPr>
        <w:pStyle w:val="Heading1"/>
      </w:pPr>
      <w:r>
        <w:t>1. 设计定位</w:t>
      </w:r>
    </w:p>
    <w:p>
      <w:r>
        <w:rPr>
          <w:rFonts w:ascii="Calibri" w:hAnsi="Calibri" w:eastAsia="Microsoft YaHei"/>
          <w:sz w:val="22"/>
        </w:rPr>
        <w:t>EventFlow 采用“未来文明活动入口”视觉方向：界面本身是未来系统，而不是被放在电脑模型中的截图。用户首先进入巨型光环、悬浮舞台与粒子潮汐构成的活动世界，再完成报名；组织者和管理员则在空间化名额编排界面中操作。科技感来自珠光白操作面、深海蓝核心场景、电青能量路径和建筑级空间叙事，而不是会议人群、普通后台卡片或游戏化 HUD。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00"/>
            <w:shd w:fill="DDF4F4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设计原则</w:t>
            </w:r>
          </w:p>
        </w:tc>
        <w:tc>
          <w:tcPr>
            <w:tcW w:type="dxa" w:w="6960"/>
            <w:shd w:fill="DDF4F4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落地规则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全屏直接感</w:t>
            </w:r>
          </w:p>
        </w:tc>
        <w:tc>
          <w:tcPr>
            <w:tcW w:type="dxa" w:w="69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概念图和正式页面都不使用电脑、手机或浏览器外框；首屏直接呈现产品界面和关键业务动作。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电影级叙事</w:t>
            </w:r>
          </w:p>
        </w:tc>
        <w:tc>
          <w:tcPr>
            <w:tcW w:type="dxa" w:w="69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用户端以巨型光环、悬浮舞台和活动世界为视觉焦点；报名按钮、名额和状态必须在首屏清晰可见。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空间化科技</w:t>
            </w:r>
          </w:p>
        </w:tc>
        <w:tc>
          <w:tcPr>
            <w:tcW w:type="dxa" w:w="69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珠光白操作面与深海蓝核心场景形成反差，电青承载信息路径，暖橙仅表示时间压力和告警。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运营优先</w:t>
            </w:r>
          </w:p>
        </w:tc>
        <w:tc>
          <w:tcPr>
            <w:tcW w:type="dxa" w:w="69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后台使用固定侧边导航、筛选工具栏、数据表格、状态标签和实时数据面板。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状态可感知</w:t>
            </w:r>
          </w:p>
        </w:tc>
        <w:tc>
          <w:tcPr>
            <w:tcW w:type="dxa" w:w="69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名额锁定、确认、候补、过期和签到必须通过文字、颜色、图标和动作反馈共同表达。</w:t>
            </w:r>
          </w:p>
        </w:tc>
      </w:tr>
    </w:tbl>
    <w:p>
      <w:pPr>
        <w:spacing w:after="40"/>
      </w:pPr>
    </w:p>
    <w:p>
      <w:pPr>
        <w:pStyle w:val="Heading1"/>
      </w:pPr>
      <w:r>
        <w:t>2. 视觉系统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50"/>
            <w:shd w:fill="DDF4F4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Token</w:t>
            </w:r>
          </w:p>
        </w:tc>
        <w:tc>
          <w:tcPr>
            <w:tcW w:type="dxa" w:w="2200"/>
            <w:shd w:fill="DDF4F4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建议值</w:t>
            </w:r>
          </w:p>
        </w:tc>
        <w:tc>
          <w:tcPr>
            <w:tcW w:type="dxa" w:w="5410"/>
            <w:shd w:fill="DDF4F4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背景</w:t>
            </w:r>
          </w:p>
        </w:tc>
        <w:tc>
          <w:tcPr>
            <w:tcW w:type="dxa" w:w="22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#F4F7F9 / #E9F0F4</w:t>
            </w:r>
          </w:p>
        </w:tc>
        <w:tc>
          <w:tcPr>
            <w:tcW w:type="dxa" w:w="54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珠光白页面基础层与浅灰蓝建筑线条。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核心场景</w:t>
            </w:r>
          </w:p>
        </w:tc>
        <w:tc>
          <w:tcPr>
            <w:tcW w:type="dxa" w:w="22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#051B3A / #0A2850</w:t>
            </w:r>
          </w:p>
        </w:tc>
        <w:tc>
          <w:tcPr>
            <w:tcW w:type="dxa" w:w="54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活动光门、名额反应器和关键控制面。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表面</w:t>
            </w:r>
          </w:p>
        </w:tc>
        <w:tc>
          <w:tcPr>
            <w:tcW w:type="dxa" w:w="22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#FFFFFF / #EDF5F7</w:t>
            </w:r>
          </w:p>
        </w:tc>
        <w:tc>
          <w:tcPr>
            <w:tcW w:type="dxa" w:w="54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表格、表单和有限的操作面板。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主色</w:t>
            </w:r>
          </w:p>
        </w:tc>
        <w:tc>
          <w:tcPr>
            <w:tcW w:type="dxa" w:w="22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#00D7E8</w:t>
            </w:r>
          </w:p>
        </w:tc>
        <w:tc>
          <w:tcPr>
            <w:tcW w:type="dxa" w:w="54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主操作、焦点、容量进度、激活导航与能量路径。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强调色</w:t>
            </w:r>
          </w:p>
        </w:tc>
        <w:tc>
          <w:tcPr>
            <w:tcW w:type="dxa" w:w="22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#FF9D2E</w:t>
            </w:r>
          </w:p>
        </w:tc>
        <w:tc>
          <w:tcPr>
            <w:tcW w:type="dxa" w:w="54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名额紧张、保留倒计时、异常和告警。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成功</w:t>
            </w:r>
          </w:p>
        </w:tc>
        <w:tc>
          <w:tcPr>
            <w:tcW w:type="dxa" w:w="22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#39D98A</w:t>
            </w:r>
          </w:p>
        </w:tc>
        <w:tc>
          <w:tcPr>
            <w:tcW w:type="dxa" w:w="54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报名确认、签到成功、服务正常。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文本</w:t>
            </w:r>
          </w:p>
        </w:tc>
        <w:tc>
          <w:tcPr>
            <w:tcW w:type="dxa" w:w="22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#0B214A / #5C7280</w:t>
            </w:r>
          </w:p>
        </w:tc>
        <w:tc>
          <w:tcPr>
            <w:tcW w:type="dxa" w:w="54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深海军蓝主文字与次级说明。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圆角</w:t>
            </w:r>
          </w:p>
        </w:tc>
        <w:tc>
          <w:tcPr>
            <w:tcW w:type="dxa" w:w="22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4px 至 8px</w:t>
            </w:r>
          </w:p>
        </w:tc>
        <w:tc>
          <w:tcPr>
            <w:tcW w:type="dxa" w:w="54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工具化界面，避免营销式大圆角卡片。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动效</w:t>
            </w:r>
          </w:p>
        </w:tc>
        <w:tc>
          <w:tcPr>
            <w:tcW w:type="dxa" w:w="22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160ms 至 240ms</w:t>
            </w:r>
          </w:p>
        </w:tc>
        <w:tc>
          <w:tcPr>
            <w:tcW w:type="dxa" w:w="54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按钮反馈、状态切换、数字刷新；不使用长时间装饰动画。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图标统一使用细线型图标；实际前端优先采用 Lucide 图标库。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正文保持高可读性无衬线字体；容量、时间、倒计时和编号可使用等宽数字样式。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所有科技纹理只用于背景层，文本与表格区域保持高对比、低噪声。</w:t>
      </w:r>
    </w:p>
    <w:p>
      <w:pPr>
        <w:pStyle w:val="Heading1"/>
      </w:pPr>
      <w:r>
        <w:t>3. 页面架构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DF4F4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用户端</w:t>
            </w:r>
          </w:p>
        </w:tc>
        <w:tc>
          <w:tcPr>
            <w:tcW w:type="dxa" w:w="4680"/>
            <w:shd w:fill="DDF4F4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组织者与管理员端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登录；活动列表；活动详情；场次选择；报名确认；我的报名；报名详情；动态签到二维码。</w:t>
            </w:r>
          </w:p>
        </w:tc>
        <w:tc>
          <w:tcPr>
            <w:tcW w:type="dxa" w:w="468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运营总览；活动管理；活动创建与编辑；场次与名额；报名名单；候补队列；签到记录；活动数据统计；用户与组织者管理；操作日志。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sz w:val="22"/>
        </w:rPr>
        <w:t>导航规则：用户端使用轻量顶栏和账户菜单；运营端使用固定左侧导航与顶部上下文栏。管理员端在组织者菜单基础上增加用户、审核、日志和异常补偿入口。</w:t>
      </w:r>
    </w:p>
    <w:p>
      <w:pPr>
        <w:pStyle w:val="Heading1"/>
      </w:pPr>
      <w:r>
        <w:t>4. 核心屏幕概念</w:t>
      </w:r>
    </w:p>
    <w:p>
      <w:pPr>
        <w:pStyle w:val="Heading2"/>
      </w:pPr>
      <w:r>
        <w:t>4.1 用户活动探索与报名</w:t>
      </w:r>
    </w:p>
    <w:p>
      <w:r>
        <w:drawing>
          <wp:inline xmlns:a="http://schemas.openxmlformats.org/drawingml/2006/main" xmlns:pic="http://schemas.openxmlformats.org/drawingml/2006/picture">
            <wp:extent cx="5806440" cy="5806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-cinematic-event-en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80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color w:val="5D6F76"/>
          <w:sz w:val="18"/>
        </w:rPr>
        <w:t>概念图 1：未来文明活动入口，以巨型光环、粒子潮汐、名额信号与场次时间线建立叙事。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首屏按视觉优先级展示：活动封面、活动名称、时间地点、名额状态、报名按钮、场次选择。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名额数字使用文字加进度条，不能只以颜色表达剩余容量。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报名未开始、报名中、名额紧张、满额候补、报名结束均需要明确按钮和状态文案。</w:t>
      </w:r>
    </w:p>
    <w:p>
      <w:pPr>
        <w:pStyle w:val="Heading2"/>
      </w:pPr>
      <w:r>
        <w:t>4.2 报名确认与临时保留</w:t>
      </w:r>
    </w:p>
    <w:p>
      <w:r>
        <w:drawing>
          <wp:inline xmlns:a="http://schemas.openxmlformats.org/drawingml/2006/main" xmlns:pic="http://schemas.openxmlformats.org/drawingml/2006/picture">
            <wp:extent cx="5806440" cy="5806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-cinematic-reservation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80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color w:val="5D6F76"/>
          <w:sz w:val="18"/>
        </w:rPr>
        <w:t>概念图 2：名额光舱与动态通行证交互，用户从场次选择、身份信息到确认进入活动世界。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以三步进度表示场次选择、报名信息与确认结果；用户始终知道自己当前所在阶段。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倒计时使用暖橙强调，并同时显示“保留至具体时间”，避免仅依赖动态数字。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确认按钮必须防重复点击；提交中显示 loading；失败后保留用户输入并给出可执行的错误提示。</w:t>
      </w:r>
    </w:p>
    <w:p>
      <w:pPr>
        <w:pStyle w:val="Heading2"/>
      </w:pPr>
      <w:r>
        <w:t>4.3 活动运营指挥台</w:t>
      </w:r>
    </w:p>
    <w:p>
      <w:r>
        <w:drawing>
          <wp:inline xmlns:a="http://schemas.openxmlformats.org/drawingml/2006/main" xmlns:pic="http://schemas.openxmlformats.org/drawingml/2006/picture">
            <wp:extent cx="5806440" cy="5806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-cinematic-quota-comma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80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color w:val="5D6F76"/>
          <w:sz w:val="18"/>
        </w:rPr>
        <w:t>概念图 3：空间化名额指挥面，将配额、候补、签到、活动阶段与服务状态组织为单一编排系统。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仪表盘只呈现当前活动最需要行动的数据：容量、报名趋势、候补、签到和异常。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表格支持按场次、状态、时间和关键词筛选；筛选条件在页面顶部固定可见。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名额告急、死信或补偿异常使用暖橙或红色，并提供可进入详情的明确操作。</w:t>
      </w:r>
    </w:p>
    <w:p>
      <w:pPr>
        <w:pStyle w:val="Heading2"/>
      </w:pPr>
      <w:r>
        <w:t>4.4 活动创建向导</w:t>
      </w:r>
    </w:p>
    <w:p>
      <w:r>
        <w:drawing>
          <wp:inline xmlns:a="http://schemas.openxmlformats.org/drawingml/2006/main" xmlns:pic="http://schemas.openxmlformats.org/drawingml/2006/picture">
            <wp:extent cx="5806440" cy="5806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-cinematic-activity-buil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80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color w:val="5D6F76"/>
          <w:sz w:val="18"/>
        </w:rPr>
        <w:t>概念图 4：活动建筑师控制面，以事件配置、场次轨道和配额蓝图完成创建与发布。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创建流程采用左侧步骤导航：活动信息、场次、名额、报名窗口、预览发布。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草稿保存始终可用；发布前统一校验必填项、时间关系、场次重叠和名额合法性。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场次和名额使用可编辑表格，避免在多个模态框中完成核心配置。</w:t>
      </w:r>
    </w:p>
    <w:p>
      <w:pPr>
        <w:pStyle w:val="Heading1"/>
      </w:pPr>
      <w:r>
        <w:t>5. 组件与状态规范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shd w:fill="DDF4F4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组件</w:t>
            </w:r>
          </w:p>
        </w:tc>
        <w:tc>
          <w:tcPr>
            <w:tcW w:type="dxa" w:w="7260"/>
            <w:shd w:fill="DDF4F4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设计与交互规则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按钮</w:t>
            </w:r>
          </w:p>
        </w:tc>
        <w:tc>
          <w:tcPr>
            <w:tcW w:type="dxa" w:w="72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主操作使用电青实色；次操作使用描边；删除、下线和异常补偿使用文字加图标并二次确认。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状态标签</w:t>
            </w:r>
          </w:p>
        </w:tc>
        <w:tc>
          <w:tcPr>
            <w:tcW w:type="dxa" w:w="72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RESERVED 使用暖橙；CONFIRMED 和 CHECKED_IN 使用绿色；WAITING 使用蓝色；CANCELLED、EXPIRED 使用灰色。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数据表格</w:t>
            </w:r>
          </w:p>
        </w:tc>
        <w:tc>
          <w:tcPr>
            <w:tcW w:type="dxa" w:w="72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表头固定、行高稳定、短字段居中、说明字段左对齐；操作采用图标按钮并提供 tooltip。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表单</w:t>
            </w:r>
          </w:p>
        </w:tc>
        <w:tc>
          <w:tcPr>
            <w:tcW w:type="dxa" w:w="72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输入框使用白色表面与浅蓝边界；焦点电青描边；必填、错误、禁用和 loading 状态均独立表达。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倒计时</w:t>
            </w:r>
          </w:p>
        </w:tc>
        <w:tc>
          <w:tcPr>
            <w:tcW w:type="dxa" w:w="72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仅在 RESERVED 或候补递补保留中展示；时间到期后自动刷新状态而非让用户继续提交。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空状态与错误</w:t>
            </w:r>
          </w:p>
        </w:tc>
        <w:tc>
          <w:tcPr>
            <w:tcW w:type="dxa" w:w="72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使用简洁图标和下一步操作；不使用装饰性大插画遮蔽问题原因。</w:t>
            </w:r>
          </w:p>
        </w:tc>
      </w:tr>
    </w:tbl>
    <w:p>
      <w:pPr>
        <w:spacing w:after="40"/>
      </w:pPr>
    </w:p>
    <w:p>
      <w:pPr>
        <w:pStyle w:val="Heading1"/>
      </w:pPr>
      <w:r>
        <w:t>6. 响应式与可访问性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桌面端以 1440px 设计基准，后台内容最小宽度以表格可读性为优先。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移动端用户页面保留活动浏览、报名、我的报名和二维码；运营后台以关键查看和轻操作为主。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移动端导航收为抽屉；场次、候补和报名记录改为纵向列表，不压缩成不可读的表格。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文字与背景至少保持 WCAG AA 对比度；颜色不作为唯一状态信息；所有图标按钮提供可访问名称。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键盘可完成登录、筛选、表单填写、确认报名和关闭弹层等关键操作。</w:t>
      </w:r>
    </w:p>
    <w:p>
      <w:pPr>
        <w:pStyle w:val="Heading1"/>
      </w:pPr>
      <w:r>
        <w:t>7. 核心交互语言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50"/>
            <w:shd w:fill="DDF4F4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业务动作</w:t>
            </w:r>
          </w:p>
        </w:tc>
        <w:tc>
          <w:tcPr>
            <w:tcW w:type="dxa" w:w="7110"/>
            <w:shd w:fill="DDF4F4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界面交互与反馈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选择场次</w:t>
            </w:r>
          </w:p>
        </w:tc>
        <w:tc>
          <w:tcPr>
            <w:tcW w:type="dxa" w:w="71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用户点击时间线或场次卡后，容量信号平滑切换，按钮文案与剩余名额同步更新；已满场次提供“加入候补”而不是禁用后无解释。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锁定名额</w:t>
            </w:r>
          </w:p>
        </w:tc>
        <w:tc>
          <w:tcPr>
            <w:tcW w:type="dxa" w:w="71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提交报名后进入短暂的信号扫描 loading，成功后切换到 RESERVED，并固定显示 10 分钟倒计时和明确确认入口。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确认报名</w:t>
            </w:r>
          </w:p>
        </w:tc>
        <w:tc>
          <w:tcPr>
            <w:tcW w:type="dxa" w:w="71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确认按钮在请求中不可重复触发；成功后呈现动态通行证和签到二维码入口，失败后保留表单内容并说明可重试原因。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名额实时变化</w:t>
            </w:r>
          </w:p>
        </w:tc>
        <w:tc>
          <w:tcPr>
            <w:tcW w:type="dxa" w:w="71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容量圆环、进度条和数据表只更新变化字段，使用 160ms 至 240ms 的数字过渡，避免整屏闪烁。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候补递补</w:t>
            </w:r>
          </w:p>
        </w:tc>
        <w:tc>
          <w:tcPr>
            <w:tcW w:type="dxa" w:w="71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候补转 RESERVED 时使用暖橙高优先级通知，并在报名详情中展示新的保留截止时间和确认操作。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异常处理</w:t>
            </w:r>
          </w:p>
        </w:tc>
        <w:tc>
          <w:tcPr>
            <w:tcW w:type="dxa" w:w="71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管理员的下线、补偿和删除操作必须有二次确认；执行结果以操作日志与非阻塞通知共同反馈。</w:t>
            </w:r>
          </w:p>
        </w:tc>
      </w:tr>
    </w:tbl>
    <w:p>
      <w:pPr>
        <w:spacing w:after="40"/>
      </w:pPr>
    </w:p>
    <w:p>
      <w:pPr>
        <w:pStyle w:val="Heading1"/>
      </w:pPr>
      <w:r>
        <w:t>8. 资产清单与实现边界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50"/>
            <w:shd w:fill="DDF4F4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资产</w:t>
            </w:r>
          </w:p>
        </w:tc>
        <w:tc>
          <w:tcPr>
            <w:tcW w:type="dxa" w:w="4550"/>
            <w:shd w:fill="DDF4F4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位置</w:t>
            </w:r>
          </w:p>
        </w:tc>
        <w:tc>
          <w:tcPr>
            <w:tcW w:type="dxa" w:w="2460"/>
            <w:shd w:fill="DDF4F4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23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用户端概念图</w:t>
            </w:r>
          </w:p>
        </w:tc>
        <w:tc>
          <w:tcPr>
            <w:tcW w:type="dxa" w:w="45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assets/ui-concepts/v4/v4-cinematic-event-entry.png</w:t>
            </w:r>
          </w:p>
        </w:tc>
        <w:tc>
          <w:tcPr>
            <w:tcW w:type="dxa" w:w="24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未来活动入口、名额信号与场次时间线参考。</w:t>
            </w:r>
          </w:p>
        </w:tc>
      </w:tr>
      <w:tr>
        <w:tc>
          <w:tcPr>
            <w:tcW w:type="dxa" w:w="23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报名确认概念图</w:t>
            </w:r>
          </w:p>
        </w:tc>
        <w:tc>
          <w:tcPr>
            <w:tcW w:type="dxa" w:w="45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assets/ui-concepts/v4/v4-cinematic-reservation-flow.png</w:t>
            </w:r>
          </w:p>
        </w:tc>
        <w:tc>
          <w:tcPr>
            <w:tcW w:type="dxa" w:w="24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名额光舱、锁定倒计时和动态通行证参考。</w:t>
            </w:r>
          </w:p>
        </w:tc>
      </w:tr>
      <w:tr>
        <w:tc>
          <w:tcPr>
            <w:tcW w:type="dxa" w:w="23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运营端概念图</w:t>
            </w:r>
          </w:p>
        </w:tc>
        <w:tc>
          <w:tcPr>
            <w:tcW w:type="dxa" w:w="45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assets/ui-concepts/v4/v4-cinematic-quota-command.png</w:t>
            </w:r>
          </w:p>
        </w:tc>
        <w:tc>
          <w:tcPr>
            <w:tcW w:type="dxa" w:w="24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空间化配额编排、候补与签到指挥面参考。</w:t>
            </w:r>
          </w:p>
        </w:tc>
      </w:tr>
      <w:tr>
        <w:tc>
          <w:tcPr>
            <w:tcW w:type="dxa" w:w="23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活动创建概念图</w:t>
            </w:r>
          </w:p>
        </w:tc>
        <w:tc>
          <w:tcPr>
            <w:tcW w:type="dxa" w:w="45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assets/ui-concepts/v4/v4-cinematic-activity-builder.png</w:t>
            </w:r>
          </w:p>
        </w:tc>
        <w:tc>
          <w:tcPr>
            <w:tcW w:type="dxa" w:w="24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活动建筑师控制面、配额与时间线配置参考。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sz w:val="22"/>
        </w:rPr>
        <w:t>实现边界：概念图用于确定布局、层级、色彩和组件语言。实际页面的中文内容、按钮、表格、图表、表单和状态逻辑必须由前端代码实现，不能将截图中的文字或数据直接当作页面素材。</w:t>
      </w:r>
    </w:p>
    <w:p>
      <w:pPr>
        <w:pStyle w:val="Heading1"/>
      </w:pPr>
      <w:r>
        <w:t>9. 界面语言规范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50"/>
            <w:shd w:fill="DDF4F4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规则</w:t>
            </w:r>
          </w:p>
        </w:tc>
        <w:tc>
          <w:tcPr>
            <w:tcW w:type="dxa" w:w="7110"/>
            <w:shd w:fill="DDF4F4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正式实现要求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默认语言</w:t>
            </w:r>
          </w:p>
        </w:tc>
        <w:tc>
          <w:tcPr>
            <w:tcW w:type="dxa" w:w="71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用户端、组织者端和管理员端的可见业务文字默认使用简体中文。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产品名称</w:t>
            </w:r>
          </w:p>
        </w:tc>
        <w:tc>
          <w:tcPr>
            <w:tcW w:type="dxa" w:w="71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产品品牌统一写作 EventFlow；首次出现时可搭配“活动报名与名额预约平台”。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英文保留范围</w:t>
            </w:r>
          </w:p>
        </w:tc>
        <w:tc>
          <w:tcPr>
            <w:tcW w:type="dxa" w:w="71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仅保留 API、JWT、Redis、RabbitMQ、ID、URL、QR Code 等具有明确技术或行业含义的英文缩写。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业务状态</w:t>
            </w:r>
          </w:p>
        </w:tc>
        <w:tc>
          <w:tcPr>
            <w:tcW w:type="dxa" w:w="71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页面展示使用中文状态，例如“名额锁定中”“报名已确认”“候补中”“已过期”“已签到”；代码枚举仍可使用 RESERVED、CONFIRMED 等英文值。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按钮与表单</w:t>
            </w:r>
          </w:p>
        </w:tc>
        <w:tc>
          <w:tcPr>
            <w:tcW w:type="dxa" w:w="71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使用“立即报名”“确认报名”“加入候补”“保存草稿”“发布活动”“查看详情”等直接中文动作词，不使用无必要的英文按钮。</w:t>
            </w:r>
          </w:p>
        </w:tc>
      </w:tr>
      <w:tr>
        <w:tc>
          <w:tcPr>
            <w:tcW w:type="dxa" w:w="22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概念图文字</w:t>
            </w:r>
          </w:p>
        </w:tc>
        <w:tc>
          <w:tcPr>
            <w:tcW w:type="dxa" w:w="71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当前生成图中的英文仅用于布局、排版和信息层级参考，正式前端不得直接作为界面文案。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D6F76"/>
        <w:sz w:val="17"/>
      </w:rPr>
      <w:t>EventFlow UI Design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86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86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A1A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