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4"/>
        </w:rPr>
        <w:t>EventFlow 详细技术架构与模块设计</w:t>
      </w:r>
    </w:p>
    <w:p>
      <w:pPr>
        <w:spacing w:after="360"/>
      </w:pPr>
      <w:r>
        <w:rPr>
          <w:rFonts w:ascii="Calibri" w:hAnsi="Calibri" w:eastAsia="Microsoft YaHei"/>
          <w:color w:val="595959"/>
          <w:sz w:val="21"/>
        </w:rPr>
        <w:t>模块化单体 | Java 17 + Spring Boot 3 | 技术设计版本 1.0</w:t>
      </w:r>
    </w:p>
    <w:p>
      <w:pPr>
        <w:pStyle w:val="Heading1"/>
      </w:pPr>
      <w:r>
        <w:t>1. 架构目标</w:t>
      </w:r>
    </w:p>
    <w:p>
      <w:r>
        <w:rPr>
          <w:rFonts w:ascii="Calibri" w:hAnsi="Calibri" w:eastAsia="Microsoft YaHei"/>
          <w:sz w:val="22"/>
        </w:rPr>
        <w:t>系统采用模块化单体：一次部署、单一数据源，但通过清晰的包边界、服务接口与领域事件避免业务模块相互穿透。此选择适合当前 MVP，降低部署和分布式事务成本，同时为未来独立扩缩容保留拆分路径。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质量目标</w:t>
            </w:r>
          </w:p>
        </w:tc>
        <w:tc>
          <w:tcPr>
            <w:tcW w:type="dxa" w:w="716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设计约束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高并发</w:t>
            </w:r>
          </w:p>
        </w:tc>
        <w:tc>
          <w:tcPr>
            <w:tcW w:type="dxa" w:w="71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报名请求先进入 Redis Lua 原子链路，避免热点名额竞争直接压向 MySQL。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最终一致</w:t>
            </w:r>
          </w:p>
        </w:tc>
        <w:tc>
          <w:tcPr>
            <w:tcW w:type="dxa" w:w="71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使用 Outbox、RabbitMQ、幂等消费、死信和定时对账，不宣称 Redis 与 MySQL 强一致。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可维护</w:t>
            </w:r>
          </w:p>
        </w:tc>
        <w:tc>
          <w:tcPr>
            <w:tcW w:type="dxa" w:w="71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Controller 只处理协议；Service 承载用例；模块不直接更新其他模块业务表。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可观测</w:t>
            </w:r>
          </w:p>
        </w:tc>
        <w:tc>
          <w:tcPr>
            <w:tcW w:type="dxa" w:w="716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关键状态迁移、消息投递、补偿与管理员操作必须具备 requestId、registrationNo 或 businessId 追踪。</w:t>
            </w:r>
          </w:p>
        </w:tc>
      </w:tr>
    </w:tbl>
    <w:p>
      <w:pPr>
        <w:spacing w:after="40"/>
      </w:pPr>
    </w:p>
    <w:p>
      <w:pPr>
        <w:pStyle w:val="Heading1"/>
      </w:pPr>
      <w:r>
        <w:t>2. 运行拓扑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React Web 通过 Nginx 提供静态资源、HTTPS、SPA 路由回退和 /api 反向代理。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Spring Boot 应用处理 REST API、认证授权、业务事务、Redis 与 RabbitMQ 交互。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MySQL 保存最终业务事实、Flyway 迁移、Outbox 事件和操作审计。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Redis 保存高频名额、幂等占位、候补队列与活动详情缓存。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RabbitMQ 传递报名、超时、候补、通知和补偿事件；MinIO 仅在活动封面或二维码文件需要持久化时启用。</w:t>
      </w:r>
    </w:p>
    <w:p>
      <w:pPr>
        <w:pStyle w:val="Heading1"/>
      </w:pPr>
      <w:r>
        <w:t>3. 后端模块边界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模块</w:t>
            </w:r>
          </w:p>
        </w:tc>
        <w:tc>
          <w:tcPr>
            <w:tcW w:type="dxa" w:w="24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职责</w:t>
            </w:r>
          </w:p>
        </w:tc>
        <w:tc>
          <w:tcPr>
            <w:tcW w:type="dxa" w:w="25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公开能力</w:t>
            </w:r>
          </w:p>
        </w:tc>
        <w:tc>
          <w:tcPr>
            <w:tcW w:type="dxa" w:w="281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不允许的耦合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auth</w:t>
            </w:r>
          </w:p>
        </w:tc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用户、角色、登录、JWT、权限判定。</w:t>
            </w:r>
          </w:p>
        </w:tc>
        <w:tc>
          <w:tcPr>
            <w:tcW w:type="dxa" w:w="2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当前用户与授权检查。</w:t>
            </w:r>
          </w:p>
        </w:tc>
        <w:tc>
          <w:tcPr>
            <w:tcW w:type="dxa" w:w="28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不处理活动或报名状态。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activity</w:t>
            </w:r>
          </w:p>
        </w:tc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活动草稿、发布、下线、报名窗口。</w:t>
            </w:r>
          </w:p>
        </w:tc>
        <w:tc>
          <w:tcPr>
            <w:tcW w:type="dxa" w:w="2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活动可报名状态查询。</w:t>
            </w:r>
          </w:p>
        </w:tc>
        <w:tc>
          <w:tcPr>
            <w:tcW w:type="dxa" w:w="28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不直接创建报名记录。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session-quota</w:t>
            </w:r>
          </w:p>
        </w:tc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场次、总容量、Redis 名额加载与回补。</w:t>
            </w:r>
          </w:p>
        </w:tc>
        <w:tc>
          <w:tcPr>
            <w:tcW w:type="dxa" w:w="2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原子占位和名额释放。</w:t>
            </w:r>
          </w:p>
        </w:tc>
        <w:tc>
          <w:tcPr>
            <w:tcW w:type="dxa" w:w="28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不写用户个人信息。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registration</w:t>
            </w:r>
          </w:p>
        </w:tc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报名状态机、确认、取消、幂等与 Outbox。</w:t>
            </w:r>
          </w:p>
        </w:tc>
        <w:tc>
          <w:tcPr>
            <w:tcW w:type="dxa" w:w="2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报名创建、查询和状态转移。</w:t>
            </w:r>
          </w:p>
        </w:tc>
        <w:tc>
          <w:tcPr>
            <w:tcW w:type="dxa" w:w="28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不直接操作候补排序。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waitlist</w:t>
            </w:r>
          </w:p>
        </w:tc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候补入队、递补资格和保留到期。</w:t>
            </w:r>
          </w:p>
        </w:tc>
        <w:tc>
          <w:tcPr>
            <w:tcW w:type="dxa" w:w="2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领取最早候补资格。</w:t>
            </w:r>
          </w:p>
        </w:tc>
        <w:tc>
          <w:tcPr>
            <w:tcW w:type="dxa" w:w="28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不跳过 registration 状态机。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checkin</w:t>
            </w:r>
          </w:p>
        </w:tc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动态二维码校验、现场签到、签到记录。</w:t>
            </w:r>
          </w:p>
        </w:tc>
        <w:tc>
          <w:tcPr>
            <w:tcW w:type="dxa" w:w="2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签到和签到查询。</w:t>
            </w:r>
          </w:p>
        </w:tc>
        <w:tc>
          <w:tcPr>
            <w:tcW w:type="dxa" w:w="28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不修改活动名额。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notification-admin</w:t>
            </w:r>
          </w:p>
        </w:tc>
        <w:tc>
          <w:tcPr>
            <w:tcW w:type="dxa" w:w="24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站内通知、平台治理、审计、人工补偿。</w:t>
            </w:r>
          </w:p>
        </w:tc>
        <w:tc>
          <w:tcPr>
            <w:tcW w:type="dxa" w:w="25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通知投递、后台查询与补偿。</w:t>
            </w:r>
          </w:p>
        </w:tc>
        <w:tc>
          <w:tcPr>
            <w:tcW w:type="dxa" w:w="28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不绕过权限和操作日志。</w:t>
            </w:r>
          </w:p>
        </w:tc>
      </w:tr>
    </w:tbl>
    <w:p>
      <w:pPr>
        <w:spacing w:after="40"/>
      </w:pPr>
    </w:p>
    <w:p>
      <w:pPr>
        <w:pStyle w:val="Heading1"/>
      </w:pPr>
      <w:r>
        <w:t>4. Spring Boot 包结构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5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目录</w:t>
            </w:r>
          </w:p>
        </w:tc>
        <w:tc>
          <w:tcPr>
            <w:tcW w:type="dxa" w:w="6210"/>
            <w:vAlign w:val="center"/>
            <w:shd w:fill="E8EEF5"/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规则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com.eventflow.&lt;module&gt;.controller</w:t>
            </w:r>
          </w:p>
        </w:tc>
        <w:tc>
          <w:tcPr>
            <w:tcW w:type="dxa" w:w="62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仅处理请求映射、Bean Validation、鉴权和 DTO 转换；Controller 命名为 *Controller。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com.eventflow.&lt;module&gt;.application</w:t>
            </w:r>
          </w:p>
        </w:tc>
        <w:tc>
          <w:tcPr>
            <w:tcW w:type="dxa" w:w="62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按用例组织 Service；使用构造器注入；事务边界在应用服务中明确。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com.eventflow.&lt;module&gt;.domain</w:t>
            </w:r>
          </w:p>
        </w:tc>
        <w:tc>
          <w:tcPr>
            <w:tcW w:type="dxa" w:w="62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实体、枚举、领域服务、领域事件和领域异常；状态转换集中在此处。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com.eventflow.&lt;module&gt;.infrastructure</w:t>
            </w:r>
          </w:p>
        </w:tc>
        <w:tc>
          <w:tcPr>
            <w:tcW w:type="dxa" w:w="62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MyBatis-Plus Mapper、Redis、MQ、对象存储和外部实现。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com.eventflow.&lt;module&gt;.dto</w:t>
            </w:r>
          </w:p>
        </w:tc>
        <w:tc>
          <w:tcPr>
            <w:tcW w:type="dxa" w:w="62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请求与响应 DTO 优先使用 Java record；不得把 Entity 直接返回给 API。</w:t>
            </w:r>
          </w:p>
        </w:tc>
      </w:tr>
      <w:tr>
        <w:tc>
          <w:tcPr>
            <w:tcW w:type="dxa" w:w="315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com.eventflow.shared</w:t>
            </w:r>
          </w:p>
        </w:tc>
        <w:tc>
          <w:tcPr>
            <w:tcW w:type="dxa" w:w="6210"/>
            <w:vAlign w:val="center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  <w:sz w:val="19"/>
              </w:rPr>
              <w:t>统一错误响应、认证上下文、时钟、序列号、审计与基础配置。</w:t>
            </w:r>
          </w:p>
        </w:tc>
      </w:tr>
    </w:tbl>
    <w:p>
      <w:pPr>
        <w:spacing w:after="40"/>
      </w:pPr>
    </w:p>
    <w:p>
      <w:pPr>
        <w:pStyle w:val="Heading1"/>
      </w:pPr>
      <w:r>
        <w:t>5. 编码与事务规则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Service 采用构造器注入和 final 依赖，不使用 @Autowired 字段注入。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输入使用 Bean Validation；find* 方法返回 Optional；领域错误使用明确的 unchecked exception 并由 @RestControllerAdvice 统一映射。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数据库事务仅覆盖 MySQL 内的状态更新和 Outbox 写入，不在事务中同步调用 RabbitMQ 或远程服务。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状态更新必须使用条件更新，例如 WHERE id = ? AND status = ?，防止并发覆盖与非法逆向迁移。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日志使用结构化字段：requestId、userId、activityId、sessionId、registrationNo、eventId；禁止记录密码、JWT 或完整手机号。</w:t>
      </w:r>
    </w:p>
    <w:p>
      <w:pPr>
        <w:pStyle w:val="Heading1"/>
      </w:pPr>
      <w:r>
        <w:t>6. 请求生命周期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网关或过滤器生成/读取 X-Request-Id，并写入日志上下文。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Spring Security 校验 JWT，构建当前用户和角色上下文。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Controller 校验请求 DTO 后调用模块 Application Service。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报名服务调用 Redis Lua 获取占位结果；结果为成功时创建报名记录和 Outbox 事件。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Outbox Publisher 异步投递 RabbitMQ，消费者按 eventId 幂等处理通知、超时或候补后续动作。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2"/>
        </w:rPr>
        <w:t>响应统一返回 data、code、message、requestId；前端以业务 code 区分候补、重复提交和保留已过期。</w:t>
      </w:r>
    </w:p>
    <w:p>
      <w:pPr>
        <w:pStyle w:val="Heading1"/>
      </w:pPr>
      <w:r>
        <w:t>7. 安全与演进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JWT 设置短访问令牌和可撤销刷新令牌；接口采用基于角色和资源归属的双重授权。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组织者只能读取和操作自己组织内的活动；管理员可跨组织治理并留下审计记录。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未来拆分优先级：notification、checkin 或高峰 registration 仅在出现独立发布、独立扩容或故障隔离证据后拆出。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不在当前阶段引入 Nacos、Feign、分布式事务框架或 Kubernetes；这些不会解决 MVP 的主要业务风险。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95959"/>
        <w:sz w:val="17"/>
      </w:rPr>
      <w:t>EventFlow Technical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