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4"/>
        </w:rPr>
        <w:t>EventFlow 代码规范与工程质量门禁</w:t>
      </w:r>
    </w:p>
    <w:p>
      <w:pPr>
        <w:spacing w:after="320"/>
      </w:pPr>
      <w:r>
        <w:rPr>
          <w:rFonts w:ascii="Calibri" w:hAnsi="Calibri" w:eastAsia="Microsoft YaHei"/>
          <w:color w:val="595959"/>
          <w:sz w:val="21"/>
        </w:rPr>
        <w:t>第四步：工程初始化 | 规范版本 1.0 | 冻结日期：2026-07-31</w:t>
      </w:r>
    </w:p>
    <w:p>
      <w:pPr>
        <w:pStyle w:val="Heading1"/>
      </w:pPr>
      <w:r>
        <w:t>1. 目的、范围与效力</w:t>
      </w:r>
    </w:p>
    <w:p>
      <w:r>
        <w:rPr>
          <w:rFonts w:ascii="Calibri" w:hAnsi="Calibri" w:eastAsia="Microsoft YaHei"/>
          <w:color w:val="1E1E1E"/>
          <w:sz w:val="22"/>
        </w:rPr>
        <w:t>本规范是 EventFlow 进入工程初始化后的强制工程基线，覆盖后端、前端、数据库、缓存、消息、版本控制和持续集成。它以既定的模块化单体架构为前提，不引入微服务、分布式事务或尚未被需求证明必要的框架。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00"/>
        <w:gridCol w:w="3510"/>
      </w:tblGrid>
      <w:tr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层面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冻结决策</w:t>
            </w:r>
          </w:p>
        </w:tc>
        <w:tc>
          <w:tcPr>
            <w:tcW w:type="dxa" w:w="3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执行方式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后端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Java 17、Spring Boot 3、Spring Security、MyBatis-Plus、Flyway。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Maven 校验、Spotless、Checkstyle、JUnit 5。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前端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React、TypeScript、Vite、React Router、Zustand、Axios、Ant Design。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ESLint、Prettier、tsc、Vitest。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数据与异步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MySQL 为事实源；Redis 为名额与缓存；RabbitMQ 只传递异步事件；Outbox 保证可靠投递。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Flyway、Lua 脚本封装、消息幂等与定时对账。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质量门禁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格式、静态检查、单元测试、集成测试和构建必须在合并前通过。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受保护主分支与拉取请求审查。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E1E1E"/>
          <w:sz w:val="22"/>
        </w:rPr>
        <w:t>本规范优先级低于已批准的产品规则、接口契约和数据一致性设计；发生冲突时，必须先更新相关 Word 设计文档，再修改代码。</w:t>
      </w:r>
    </w:p>
    <w:p>
      <w:pPr>
        <w:pStyle w:val="Heading1"/>
      </w:pPr>
      <w:r>
        <w:t>2. 总体工程约定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项目</w:t>
            </w:r>
          </w:p>
        </w:tc>
        <w:tc>
          <w:tcPr>
            <w:tcW w:type="dxa" w:w="7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强制规则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文本与换行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源码、配置和脚本统一 UTF-8、LF 结尾、文件末尾保留一个换行；禁止提交 BOM。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命名语言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代码标识、表名、接口路径、事件名和配置键使用英文；面向用户的文案使用中文，必要的技术术语可保留英文。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复杂度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优先清晰而非技巧性写法；一个方法只表达一个用例步骤，嵌套超过 3 层时优先通过提前返回或提取方法降低复杂度。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依赖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新增依赖须说明用途、许可证、维护状态和替代方案；不得为单个简单工具函数引入大型依赖。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配置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环境差异放入配置文件或环境变量；密钥、密码、JWT 私钥和生产连接串不得进入 Git 或日志。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注释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只解释业务约束、状态机原因、并发边界或非常规取舍；禁止重复代码字面含义的注释。TODO 必须带工单号与处理条件。</w:t>
            </w:r>
          </w:p>
        </w:tc>
      </w:tr>
    </w:tbl>
    <w:p>
      <w:pPr>
        <w:spacing w:after="40"/>
      </w:pPr>
    </w:p>
    <w:p>
      <w:pPr>
        <w:pStyle w:val="Heading1"/>
      </w:pPr>
      <w:r>
        <w:t>3. 仓库与模块结构</w:t>
      </w:r>
    </w:p>
    <w:p>
      <w:r>
        <w:rPr>
          <w:rFonts w:ascii="Calibri" w:hAnsi="Calibri" w:eastAsia="Microsoft YaHei"/>
          <w:color w:val="1E1E1E"/>
          <w:sz w:val="22"/>
        </w:rPr>
        <w:t>工程初始化后采用前后端分目录的模块化单体。后端模块之间通过 application 层接口或领域事件协作，严禁跨模块直接写入对方业务表、Mapper 或 Redis Key。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目录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职责与边界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backend/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Maven Spring Boot 应用；按 auth、activity、sessionquota、registration、waitlist、checkin、notification、admin 等业务模块组织。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frontend/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React 单页应用；按页面功能组织 feature，公共视觉组件和业务组件分别管理。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deploy/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Docker Compose、Nginx、示例环境变量、部署与运维脚本；不得存放真实凭据。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docs/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已批准的项目、接口、数据、测试与交付 Word 文档。文档变更应与实现变更同一拉取请求提交。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tools/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可重复运行的项目辅助脚本；不承载业务运行时逻辑。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50"/>
        <w:gridCol w:w="371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后端包</w:t>
            </w:r>
          </w:p>
        </w:tc>
        <w:tc>
          <w:tcPr>
            <w:tcW w:type="dxa" w:w="3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允许内容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禁止内容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com.eventflow.&lt;module&gt;.api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Controller、请求/响应 DTO、参数校验、OpenAPI 注解。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业务状态迁移、SQL、Redis 或 MQ 调用。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com.eventflow.&lt;module&gt;.application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用例服务、事务边界、权限编排、跨模块端口调用。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HTTP 协议细节、跨模块表直接更新。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com.eventflow.&lt;module&gt;.domain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聚合、枚举、值对象、领域异常、状态转换规则。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Spring MVC、MyBatis、RedisTemplate 等基础设施依赖。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com.eventflow.&lt;module&gt;.infrastructure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Mapper、持久化实体、Redis Lua 适配器、MQ Publisher/Consumer。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Controller 返回 DTO、散落的业务判断。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com.eventflow.shared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确有跨模块复用价值的错误码、鉴权上下文、审计、时间和通用基础设施。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为图省事堆放所有业务对象。</w:t>
            </w:r>
          </w:p>
        </w:tc>
      </w:tr>
    </w:tbl>
    <w:p>
      <w:pPr>
        <w:spacing w:after="40"/>
      </w:pPr>
    </w:p>
    <w:p>
      <w:pPr>
        <w:pStyle w:val="Heading1"/>
      </w:pPr>
      <w:r>
        <w:t>4. Java 与 Spring Boot 规范</w:t>
      </w:r>
    </w:p>
    <w:p>
      <w:pPr>
        <w:pStyle w:val="Heading2"/>
      </w:pPr>
      <w:r>
        <w:t>4.1 命名、类型与依赖注入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包名全小写，例如 com.eventflow.registration.application；类、接口、枚举和 record 使用 PascalCase；方法、字段和参数使用 camelCase；常量使用 UPPER_SNAKE_CASE。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REST 控制器以 Controller 结尾，应用服务以 Service 结尾，数据访问接口以 Mapper 或 Repository 结尾，转换器以 Mapper 或 Assembler 结尾；不得使用无语义缩写。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请求与响应使用不可变 record；领域值对象优先使用 record；持久化实体可为普通类，但禁止作为 API 请求或响应直接返回。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Spring Bean 统一构造器注入，依赖字段为 final；禁止 @Autowired 字段注入、静态可变单例状态和 Service Locator。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find* 方法可返回 Optional；集合查询一律返回空集合；禁止 Optional 作为字段、参数、序列化 DTO 字段或调用 get()。</w:t>
      </w:r>
    </w:p>
    <w:p>
      <w:pPr>
        <w:pStyle w:val="Heading2"/>
      </w:pPr>
      <w:r>
        <w:t>4.2 分层、事务与状态机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位置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必须做</w:t>
            </w:r>
          </w:p>
        </w:tc>
        <w:tc>
          <w:tcPr>
            <w:tcW w:type="dxa" w:w="3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不得做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Controller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鉴权、@Valid 校验、提取当前用户、调用一个应用用例并返回统一响应。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编写业务分支、开启事务、返回 Entity。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Application Service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表达用例步骤；明确 @Transactional；调用领域对象完成状态转移；同一事务写事实表与 Outbox。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在事务内同步等待 RabbitMQ、短信或其他远程调用。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Domain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集中维护报名、候补、活动和签到的合法状态迁移；不变量失败时抛出领域异常。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依赖 HTTP、SQL、缓存客户端或消息客户端。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Infrastructure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实现数据库、Redis、MQ 和外部服务端口；将技术异常补充上下文后上抛。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自行决定报名、名额或候补业务状态。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E1E1E"/>
          <w:sz w:val="22"/>
        </w:rPr>
        <w:t>涉及 MySQL 的写操作必须将业务事实变更和 outbox_event 插入放在同一个本地事务中。报名请求的 Redis Lua 原子占位发生在事务之前；若持久化失败，必须通过既定补偿流程释放或核对占位，不能在 Controller 中临时拼接补偿。</w:t>
      </w:r>
    </w:p>
    <w:p>
      <w:pPr>
        <w:pStyle w:val="Heading2"/>
      </w:pPr>
      <w:r>
        <w:t>4.3 异常、响应、日志与安全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领域异常使用 unchecked exception，并带稳定的业务错误码；基础设施异常必须带资源和操作上下文。@RestControllerAdvice 统一转换为既定的 code、message、data、requestId 响应契约。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禁止吞异常、只记录 message 不记录堆栈、用异常完成普通流程控制，或随意捕获 Exception。确有边界捕获时，必须记录上下文并转换或再次抛出。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日志使用 SLF4J 占位符。关键写操作至少带 requestId、actorId、activityId、sessionId、registrationNo、eventId 中的适用字段。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日志、异常信息、审计扩展字段和前端埋点中不得出现密码、JWT、验证码、完整手机号、完整邮箱或未经授权的报名信息；展示与日志均按最小必要原则脱敏。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所有外部输入均用 Bean Validation 校验；组织者和管理员写操作必须同时满足角色权限与组织数据范围校验。</w:t>
      </w:r>
    </w:p>
    <w:p>
      <w:pPr>
        <w:pStyle w:val="Heading2"/>
      </w:pPr>
      <w:r>
        <w:t>4.4 Java 格式与测试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项</w:t>
            </w:r>
          </w:p>
        </w:tc>
        <w:tc>
          <w:tcPr>
            <w:tcW w:type="dxa" w:w="7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规则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格式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4 空格缩进、K&amp;R 大括号、单行不超过 120 字符；成员顺序为常量、字段、构造器、公开方法、受保护方法、私有方法。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格式化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Spotless 使用 Palantir Java Format；导入顺序由格式化器统一维护，禁止手动争论空格和换行。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静态检查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Checkstyle 检查命名、行长、禁止通配符导入、空块和不必要的可见性；编译启用全部警告。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单元测试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JUnit 5、AssertJ、Mockito；服务测试不启动 Spring 上下文，不使用 sleep，测试名称描述业务结果。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切片与集成测试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Controller 使用 @WebMvcTest，Mapper 使用 @MybatisTest 或等价切片；Redis、MySQL、RabbitMQ 行为用 Testcontainers 验证关键一致性链路。</w:t>
            </w:r>
          </w:p>
        </w:tc>
      </w:tr>
    </w:tbl>
    <w:p>
      <w:pPr>
        <w:spacing w:after="40"/>
      </w:pPr>
    </w:p>
    <w:p>
      <w:pPr>
        <w:pStyle w:val="Heading1"/>
      </w:pPr>
      <w:r>
        <w:t>5. React 与 TypeScript 规范</w:t>
      </w:r>
    </w:p>
    <w:p>
      <w:pPr>
        <w:pStyle w:val="Heading2"/>
      </w:pPr>
      <w:r>
        <w:t>5.1 文件、组件与状态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对象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规范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文件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页面、组件、Hook 和 TypeScript 文件使用 kebab-case；React 组件导出名使用 PascalCase；每个文件只表达一个主要职责。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仅使用函数组件与 Hook；Props 显式定义接口或 type；可复用展示组件保持受控和无业务请求副作用。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Feature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页面相关的 API、types、components、hooks 和 tests 放在 feature 内；跨 feature 复用后再提升到 shared。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服务端数据优先由 TanStack Query 管理；Zustand 仅保存跨页面客户端状态，如会话、界面偏好和短暂流程状态。禁止把服务端列表复制到 Zustand。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副作用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请求、订阅和计时器放在自定义 Hook；useEffect 只用于同步外部系统，禁止把可直接计算的派生数据写回 state。</w:t>
            </w:r>
          </w:p>
        </w:tc>
      </w:tr>
    </w:tbl>
    <w:p>
      <w:pPr>
        <w:spacing w:after="40"/>
      </w:pPr>
    </w:p>
    <w:p>
      <w:pPr>
        <w:pStyle w:val="Heading2"/>
      </w:pPr>
      <w:r>
        <w:t>5.2 类型、请求与用户状态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禁止 any；边界不确定数据使用 unknown 并通过运行时校验或明确类型收窄后使用。接口请求与响应类型从 API 契约生成或集中定义，不允许页面内重复声明。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Axios 只通过统一 client 发起，统一注入 Authorization、X-Request-Id、超时、错误映射和 token 刷新策略。组件不得直接拼接基础 URL。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每个异步页面和关键操作必须覆盖 loading、empty、error、success 四种状态；报名、取消、签到等写操作必须防止重复点击，并依据业务 code 给出可恢复提示。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列表 key 必须为稳定业务 ID；不得以数组下标作为会变动列表的 key。表单使用受控字段与统一校验规则，不在提交后静默丢弃服务端字段错误。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正式构建禁止 console.log、console.debug 和未处理 Promise；错误上报只能携带脱敏后的诊断上下文。</w:t>
      </w:r>
    </w:p>
    <w:p>
      <w:pPr>
        <w:pStyle w:val="Heading2"/>
      </w:pPr>
      <w:r>
        <w:t>5.3 样式、可访问性与前端测试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项</w:t>
            </w:r>
          </w:p>
        </w:tc>
        <w:tc>
          <w:tcPr>
            <w:tcW w:type="dxa" w:w="7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规则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样式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优先复用已批准的设计令牌、Ant Design 主题变量与局部 CSS Modules；禁止大面积行内 style 和 !important。样式声明顺序：布局、盒模型、文字、视觉、交互。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可访问性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所有图标按钮要有可访问名称与 tooltip；表单控件必须关联 label；键盘可操作；颜色不是状态表达的唯一方式。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格式化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Prettier：2 空格、单引号、分号、尾随逗号 all、printWidth 100；ESLint 负责 React Hooks、未使用变量、Promise 和导入边界。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测试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Vitest + React Testing Library 测试用户可见行为和关键 Hook；关键报名、候补、取消和签到旅程由 Playwright 端到端覆盖。</w:t>
            </w:r>
          </w:p>
        </w:tc>
      </w:tr>
    </w:tbl>
    <w:p>
      <w:pPr>
        <w:spacing w:after="40"/>
      </w:pPr>
    </w:p>
    <w:p>
      <w:pPr>
        <w:pStyle w:val="Heading1"/>
      </w:pPr>
      <w:r>
        <w:t>6. MySQL 与 Flyway 规范</w:t>
      </w:r>
    </w:p>
    <w:p>
      <w:r>
        <w:rPr>
          <w:rFonts w:ascii="Calibri" w:hAnsi="Calibri" w:eastAsia="Microsoft YaHei"/>
          <w:color w:val="1E1E1E"/>
          <w:sz w:val="22"/>
        </w:rPr>
        <w:t>MySQL 是业务最终事实源。以下规则基于既定的数据一致性设计：Redis 不能替代报名、名额、候补或签到的最终记录，消息队列不能成为数据查询来源。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对象</w:t>
            </w:r>
          </w:p>
        </w:tc>
        <w:tc>
          <w:tcPr>
            <w:tcW w:type="dxa" w:w="7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项目规则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字符与时间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统一 utf8mb4；时间使用 DATETIME(3)，应用统一使用 Asia/Shanghai 业务时区，数据库和应用服务器使用统一时钟策略。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表与列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业务表统一 ef_ 前缀，如 ef_activity、ef_registration；列使用 snake_case；主键为 id BIGINT UNSIGNED AUTO_INCREMENT；关联列为 xxx_id。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审计列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业务事实表必须有 create_time、update_time；create_user_id、update_user_id 只在可追溯的人工操作场景使用。不得机械添加 tenant_id、is_deleted 或 revision。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状态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有生命周期的对象使用 VARCHAR(32) status 并映射枚举；无生命周期的关系表不强加 status。报名状态迁移必须带旧状态条件或等价乐观锁条件。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约束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使用 NOT NULL、默认值、CHECK（可执行时）和唯一索引表达数据不变量；高频报名链路不使用跨模块物理外键，关联列必须有对应索引。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索引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按真实查询设计复合索引，遵循最左前缀；唯一约束优先于代码去重；禁止 SELECT *、无条件大范围更新和未经分页的后台大查询。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所有表结构和数据修正都通过 Flyway。迁移命名为 V&lt;版本&gt;__&lt;英文说明&gt;.sql，例如 V003__create_registration_tables.sql；已在共享环境执行的版本迁移不得修改或删除，只能新增修正迁移。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每个迁移必须有可验证的前置假设、可执行的向前变更和必要的数据回填；大表变更须评估锁表、分批和回滚方案后再合并。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数据库设计变更必须同步更新数据设计 Word 文档和 ER 图，并至少附上受影响查询的索引说明。</w:t>
      </w:r>
    </w:p>
    <w:p>
      <w:pPr>
        <w:pStyle w:val="Heading1"/>
      </w:pPr>
      <w:r>
        <w:t>7. Redis、RabbitMQ 与 Outbox 调用边界</w:t>
      </w:r>
    </w:p>
    <w:tbl>
      <w:tblPr>
        <w:tblW w:type="dxa" w:w="92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100"/>
        <w:gridCol w:w="4410"/>
      </w:tblGrid>
      <w:tr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组件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允许调用者</w:t>
            </w:r>
          </w:p>
        </w:tc>
        <w:tc>
          <w:tcPr>
            <w:tcW w:type="dxa" w:w="4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强制规则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Redis 名额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sessionquota.infrastructure 的 Lua 适配器与受控补偿任务。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禁止 Controller、后台管理页或其他模块直接改名额 Key；名额变化必须走原子 Lua 脚本。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Redis 缓存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所属模块的缓存端口实现。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Key 统一以 ef: 开头并有版本与 TTL；缓存未命中可回源 MySQL，缓存写入失败不能伪造业务成功。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RabbitMQ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Outbox Publisher 与明确的 Consumer。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业务写事务不直接发布 MQ；生产者必须确认，消费者按 event_id 幂等，失败进入有限重试和死信队列。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Outbox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Application Service 在本地事务写入；Publisher 负责投递与状态。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事件包含 event_id、event_type、aggregate_type、aggregate_id、payload、occurred_at；消费者不以消息顺序作为正确性前提。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补偿与对账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受控定时任务与管理员受审计操作。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只能按既定补偿策略修正 Redis、MySQL、Outbox 或队列状态；每次人工补偿必须写 operation_log。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E1E1E"/>
          <w:sz w:val="22"/>
        </w:rPr>
        <w:t>与名额相关的核心不变量保持不变：每个场次 total_quota = available_quota + reserved_quota + confirmed_quota，RESERVED 与 CONFIRMED 均占用名额。任何实现不得绕过该不变量或把候补记录计入已占用名额。</w:t>
      </w:r>
    </w:p>
    <w:p>
      <w:pPr>
        <w:pStyle w:val="Heading1"/>
      </w:pPr>
      <w:r>
        <w:t>8. Git、审查与持续集成门禁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环节</w:t>
            </w:r>
          </w:p>
        </w:tc>
        <w:tc>
          <w:tcPr>
            <w:tcW w:type="dxa" w:w="7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强制规则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仓库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采用单 Git 仓库：frontend、backend、deploy 和 docs 同版本演进。前后端目录隔离不等于拆分仓库；当前阶段不得将其拆为独立仓库。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分支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main 为受保护分支，只接受拉取请求；功能分支使用 feat/&lt;issue&gt;-&lt;short-name&gt;，修复分支使用 fix/&lt;issue&gt;-&lt;short-name&gt;。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提交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前端与后端按职责分别提交：前端使用 VS Code，后端使用 IntelliJ IDEA。实现功能必须使用 feat(板块名)：内容，例如 feat(activity)：新增活动草稿创建；修复缺陷必须使用 fix(板块名)：内容，例如 fix(auth)：修复登录令牌刷新失败。docs、test、refactor、chore 仅用于对应的非功能变更。一次提交只完成一个可说明的改变。联合功能可在同一 PR 中提交，但前端、后端、迁移、测试和文档必须按职责拆成独立提交。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拉取请求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说明目的、风险、测试证据、数据迁移与配置影响；涉及状态机、名额、权限、Redis、MQ 或数据库迁移的改动必须点明回滚与补偿影响。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审查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至少 1 名同级审查者批准；涉及一致性、安全或数据迁移的改动再由模块负责人批准。不得用“后续再补测试”绕过门禁。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后端 CI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mvn spotless:check、checkstyle:check、test、集成测试和 package 全部通过；关键报名链路的失败、重试、幂等和补偿测试不可跳过。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前端 CI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color w:val="1E1E1E"/>
                <w:sz w:val="19"/>
              </w:rPr>
              <w:t>pnpm lint、pnpm format:check、pnpm typecheck、pnpm test、pnpm build 全部通过；关键用户旅程的 Playwright 用例在可用环境执行。</w:t>
            </w:r>
          </w:p>
        </w:tc>
      </w:tr>
    </w:tbl>
    <w:p>
      <w:pPr>
        <w:spacing w:after="40"/>
      </w:pPr>
    </w:p>
    <w:p>
      <w:pPr>
        <w:pStyle w:val="Heading1"/>
      </w:pPr>
      <w:r>
        <w:t>9. 合并前检查清单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需求、接口、状态机和数据设计是否仍与实现一致；若有变化，相关 Word 文档是否已同时更新。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是否跨越了模块边界、绕过了权限校验、Redis Lua、Outbox 或既定补偿流程。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输入校验、错误码、审计、日志字段和敏感信息脱敏是否完整。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数据库迁移是否可重复验证，唯一约束和索引是否覆盖真实读写路径。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格式化、静态检查、类型检查、单元测试、集成测试、构建和必要的端到端测试是否全部通过。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拉取请求是否说明了风险、监控点、回滚方式，以及 Redis、MQ、数据库可能出现的不一致处置。</w:t>
      </w:r>
    </w:p>
    <w:p>
      <w:pPr>
        <w:pStyle w:val="Heading1"/>
      </w:pPr>
      <w:r>
        <w:t>10. 与参考规范的适配说明</w:t>
      </w:r>
    </w:p>
    <w:p>
      <w:r>
        <w:rPr>
          <w:rFonts w:ascii="Calibri" w:hAnsi="Calibri" w:eastAsia="Microsoft YaHei"/>
          <w:color w:val="1E1E1E"/>
          <w:sz w:val="22"/>
        </w:rPr>
        <w:t>本规范吸收了知识库的命名、分层、参数校验、日志脱敏、SQL 与索引、React Hook、模块化样式及 Git 审查原则，并根据 EventFlow 当前架构做了以下调整：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不采用参考规范中“所有业务表强制 tenant_id、is_deleted、revision”的模板化做法。EventFlow 当前以 organization_id 表达组织数据边界，只在确有业务语义时增加软删除或乐观锁字段。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不采用直接在 Service 中同步发消息的示例。EventFlow 的跨进程异步行为一律经同一 MySQL 事务中的 Outbox 投递。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不采用泛化的 Spring Cloud、Feign、配置中心或微服务规则；当前是模块化单体，这些会增加未被需求证明的运行复杂度。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E1E1E"/>
          <w:sz w:val="22"/>
        </w:rPr>
        <w:t>不采用“手动释放大对象帮助 GC”等规则。Java 运行时由垃圾回收器管理，代码应避免不必要的大对象保留和静态可变缓存。</w:t>
      </w:r>
    </w:p>
    <w:p>
      <w:r>
        <w:rPr>
          <w:rFonts w:ascii="Calibri" w:hAnsi="Calibri" w:eastAsia="Microsoft YaHei"/>
          <w:color w:val="1E1E1E"/>
          <w:sz w:val="22"/>
        </w:rPr>
        <w:t>本文件完成后，第四步的“代码规范冻结”子步骤结束。下一子步骤才是创建实际工程骨架、构建配置与质量门禁文件；在收到明确指令前，不创建业务代码。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7"/>
      </w:rPr>
      <w:t xml:space="preserve">EventFlow | 代码规范与工程质量门禁 | 第 </w:t>
    </w:r>
    <w:r>
      <w:rPr>
        <w:rFonts w:ascii="Calibri" w:hAnsi="Calibri" w:eastAsia="Microsoft YaHei"/>
        <w:color w:val="595959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95959"/>
        <w:sz w:val="17"/>
      </w:rPr>
      <w:t>EventFlow | 工程规范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