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657DF6" w:rsidTr="00607E2C">
        <w:tc>
          <w:tcPr>
            <w:tcW w:w="9212" w:type="dxa"/>
            <w:gridSpan w:val="2"/>
          </w:tcPr>
          <w:p w:rsidR="00657DF6" w:rsidRDefault="00657DF6" w:rsidP="00657DF6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Aparatura Automatyzacji</w:t>
            </w:r>
          </w:p>
          <w:p w:rsidR="00657DF6" w:rsidRPr="00657DF6" w:rsidRDefault="00657DF6" w:rsidP="00657DF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Sprawozdanie</w:t>
            </w:r>
          </w:p>
        </w:tc>
      </w:tr>
      <w:tr w:rsidR="00657DF6" w:rsidTr="00657DF6">
        <w:tc>
          <w:tcPr>
            <w:tcW w:w="9212" w:type="dxa"/>
            <w:gridSpan w:val="2"/>
            <w:vAlign w:val="center"/>
          </w:tcPr>
          <w:p w:rsidR="00657DF6" w:rsidRDefault="00657DF6" w:rsidP="00657DF6">
            <w:pPr>
              <w:jc w:val="center"/>
            </w:pPr>
            <w:r>
              <w:t>Ćwiczenie 9 – Układ starowania ogniw słonecznych</w:t>
            </w:r>
          </w:p>
        </w:tc>
      </w:tr>
      <w:tr w:rsidR="00657DF6" w:rsidTr="00657DF6">
        <w:trPr>
          <w:trHeight w:val="367"/>
        </w:trPr>
        <w:tc>
          <w:tcPr>
            <w:tcW w:w="4606" w:type="dxa"/>
            <w:vAlign w:val="center"/>
          </w:tcPr>
          <w:p w:rsidR="00657DF6" w:rsidRDefault="00657DF6" w:rsidP="00657DF6">
            <w:pPr>
              <w:jc w:val="center"/>
            </w:pPr>
            <w:r>
              <w:t>Grupa 9 – Wtorek 11:45</w:t>
            </w:r>
          </w:p>
        </w:tc>
        <w:tc>
          <w:tcPr>
            <w:tcW w:w="4606" w:type="dxa"/>
            <w:vMerge w:val="restart"/>
          </w:tcPr>
          <w:p w:rsidR="00657DF6" w:rsidRDefault="00657DF6" w:rsidP="00657DF6">
            <w:r>
              <w:t xml:space="preserve">Karolina </w:t>
            </w:r>
            <w:proofErr w:type="spellStart"/>
            <w:r>
              <w:t>Buśko</w:t>
            </w:r>
            <w:proofErr w:type="spellEnd"/>
          </w:p>
          <w:p w:rsidR="00657DF6" w:rsidRDefault="00657DF6" w:rsidP="00657DF6">
            <w:r>
              <w:t xml:space="preserve">Wojciech Dziuba </w:t>
            </w:r>
          </w:p>
          <w:p w:rsidR="00657DF6" w:rsidRDefault="00657DF6" w:rsidP="00657DF6">
            <w:r>
              <w:t>Jakub Gaj</w:t>
            </w:r>
          </w:p>
        </w:tc>
      </w:tr>
      <w:tr w:rsidR="00657DF6" w:rsidTr="00657DF6">
        <w:trPr>
          <w:trHeight w:val="367"/>
        </w:trPr>
        <w:tc>
          <w:tcPr>
            <w:tcW w:w="4606" w:type="dxa"/>
            <w:vAlign w:val="center"/>
          </w:tcPr>
          <w:p w:rsidR="00657DF6" w:rsidRDefault="00657DF6" w:rsidP="00657DF6">
            <w:pPr>
              <w:jc w:val="center"/>
            </w:pPr>
            <w:r>
              <w:t>26.03.2019</w:t>
            </w:r>
          </w:p>
        </w:tc>
        <w:tc>
          <w:tcPr>
            <w:tcW w:w="4606" w:type="dxa"/>
            <w:vMerge/>
          </w:tcPr>
          <w:p w:rsidR="00657DF6" w:rsidRDefault="00657DF6" w:rsidP="00657DF6"/>
        </w:tc>
      </w:tr>
    </w:tbl>
    <w:p w:rsidR="00B62692" w:rsidRDefault="00DA6074"/>
    <w:p w:rsidR="00657DF6" w:rsidRDefault="00657D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Cel ćwiczenia</w:t>
      </w:r>
    </w:p>
    <w:p w:rsidR="00657DF6" w:rsidRDefault="00657D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 Stanowisko laboratoryjne</w:t>
      </w:r>
    </w:p>
    <w:p w:rsidR="00657DF6" w:rsidRDefault="00726499">
      <w:pPr>
        <w:rPr>
          <w:rFonts w:cstheme="minorHAnsi"/>
        </w:rPr>
      </w:pPr>
      <w:r>
        <w:rPr>
          <w:rFonts w:cstheme="minorHAnsi"/>
        </w:rPr>
        <w:t>Centralny element stanowiska laboratoryjnego stanowił układ ogniw fotowoltaicznych. Urządzenie było wyposażone w dwa silniki elektryczne, które umożliwiały obrót ogniw fotowoltaicznych w osi poziomej i w osi pionowej. Układ elektroniczny sterujący oboma silnikami umożliwiał ich niezależną jednoczesną pracę w obu kierunkach [Rys 1.1]. Sposób zasilania silników umożliwiał również niezależne dostosowanie prędkości oborowej każdego z nich.</w:t>
      </w:r>
      <w:r w:rsidR="002F0A30">
        <w:rPr>
          <w:rFonts w:cstheme="minorHAnsi"/>
        </w:rPr>
        <w:t xml:space="preserve"> Każdy z silników był wyposażony w dwa czujniki krańcowe, które w momencie osiągnięcia maksymalnego wychylenia w danej osi przerywały obwód w odpowiednim miejscu uniemożliwiając dalszy obrót silnika w tym samym kierunku</w:t>
      </w:r>
      <w:r w:rsidR="002A6B2F">
        <w:rPr>
          <w:rFonts w:cstheme="minorHAnsi"/>
        </w:rPr>
        <w:t>, a</w:t>
      </w:r>
      <w:r w:rsidR="002F0A30">
        <w:rPr>
          <w:rFonts w:cstheme="minorHAnsi"/>
        </w:rPr>
        <w:t xml:space="preserve"> jednocześnie nie blokując jego obrotu w kierunku przeciwnym dzięki zastosowaniu odpowiednio </w:t>
      </w:r>
      <w:r w:rsidR="002A6B2F">
        <w:rPr>
          <w:rFonts w:cstheme="minorHAnsi"/>
        </w:rPr>
        <w:t>skierowanych</w:t>
      </w:r>
      <w:r w:rsidR="002F0A30">
        <w:rPr>
          <w:rFonts w:cstheme="minorHAnsi"/>
        </w:rPr>
        <w:t xml:space="preserve"> diod.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726499" w:rsidTr="00BC78C6">
        <w:trPr>
          <w:trHeight w:val="1692"/>
        </w:trPr>
        <w:tc>
          <w:tcPr>
            <w:tcW w:w="9212" w:type="dxa"/>
            <w:vAlign w:val="center"/>
          </w:tcPr>
          <w:p w:rsidR="00726499" w:rsidRDefault="00726499" w:rsidP="00726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drawing>
                <wp:inline distT="0" distB="0" distL="0" distR="0">
                  <wp:extent cx="5762625" cy="2372360"/>
                  <wp:effectExtent l="1905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37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499" w:rsidTr="00BC78C6">
        <w:trPr>
          <w:trHeight w:val="352"/>
        </w:trPr>
        <w:tc>
          <w:tcPr>
            <w:tcW w:w="9212" w:type="dxa"/>
            <w:vAlign w:val="center"/>
          </w:tcPr>
          <w:p w:rsidR="00726499" w:rsidRDefault="00726499" w:rsidP="00726499">
            <w:pPr>
              <w:jc w:val="center"/>
              <w:rPr>
                <w:rFonts w:cstheme="minorHAnsi"/>
                <w:noProof/>
                <w:lang w:eastAsia="pl-PL"/>
              </w:rPr>
            </w:pPr>
            <w:r>
              <w:rPr>
                <w:rFonts w:cstheme="minorHAnsi"/>
                <w:noProof/>
                <w:lang w:eastAsia="pl-PL"/>
              </w:rPr>
              <w:t>Rys. 1.1 Układ sterowania kierunkiem obrotu i prędkością obrotową obu silników.</w:t>
            </w:r>
          </w:p>
        </w:tc>
      </w:tr>
    </w:tbl>
    <w:p w:rsidR="002A6B2F" w:rsidRDefault="002A6B2F">
      <w:pPr>
        <w:rPr>
          <w:rFonts w:cstheme="minorHAnsi"/>
        </w:rPr>
      </w:pPr>
    </w:p>
    <w:p w:rsidR="002A6B2F" w:rsidRDefault="002A6B2F">
      <w:pPr>
        <w:rPr>
          <w:rFonts w:cstheme="minorHAnsi"/>
        </w:rPr>
      </w:pPr>
      <w:r>
        <w:rPr>
          <w:rFonts w:cstheme="minorHAnsi"/>
        </w:rPr>
        <w:t>Sterowanie było zrealizowane za pomocą modułów kontrolno - pomiarowych z serii ADAM4000 połączonych wspólną magistralą RS485, która łączyła się za pośrednictwem modemu radiowego z komputerem.</w:t>
      </w:r>
    </w:p>
    <w:p w:rsidR="00224D8F" w:rsidRDefault="002A6B2F">
      <w:pPr>
        <w:rPr>
          <w:rFonts w:cstheme="minorHAnsi"/>
        </w:rPr>
      </w:pPr>
      <w:r>
        <w:rPr>
          <w:rFonts w:cstheme="minorHAnsi"/>
        </w:rPr>
        <w:t>Za sterowanie prędkością obrotów obu silników odpowiedzialny był ADAM4014, który przekazywał sygnał analogowy do układu zasilającego silniki odpowiednio zwiększając lub</w:t>
      </w:r>
      <w:r w:rsidR="00224D8F">
        <w:rPr>
          <w:rFonts w:cstheme="minorHAnsi"/>
        </w:rPr>
        <w:t xml:space="preserve"> zmniejszając pobór prądu przez wybrany silnik. </w:t>
      </w:r>
    </w:p>
    <w:p w:rsidR="00224D8F" w:rsidRDefault="00224D8F">
      <w:pPr>
        <w:rPr>
          <w:rFonts w:cstheme="minorHAnsi"/>
        </w:rPr>
      </w:pPr>
    </w:p>
    <w:p w:rsidR="00224D8F" w:rsidRDefault="00224D8F">
      <w:pPr>
        <w:rPr>
          <w:rFonts w:cstheme="minorHAnsi"/>
        </w:rPr>
      </w:pPr>
      <w:r>
        <w:rPr>
          <w:rFonts w:cstheme="minorHAnsi"/>
        </w:rPr>
        <w:lastRenderedPageBreak/>
        <w:t>Wyjścia analogowe  ADAMA4024 były adresowane następująco:</w:t>
      </w:r>
      <w:r>
        <w:rPr>
          <w:rFonts w:cstheme="minorHAnsi"/>
        </w:rPr>
        <w:br/>
      </w:r>
      <w:r>
        <w:rPr>
          <w:rFonts w:cstheme="minorHAnsi"/>
        </w:rPr>
        <w:br/>
        <w:t>- sterowanie prędkością ruchu silnika elewacji:</w:t>
      </w:r>
      <w:r>
        <w:rPr>
          <w:rFonts w:cstheme="minorHAnsi"/>
        </w:rPr>
        <w:tab/>
        <w:t>adres 04 - bit 0</w:t>
      </w:r>
      <w:r>
        <w:rPr>
          <w:rFonts w:cstheme="minorHAnsi"/>
        </w:rPr>
        <w:br/>
        <w:t>- sterowanie prędkością ruchu silnika azymutu:</w:t>
      </w:r>
      <w:r>
        <w:rPr>
          <w:rFonts w:cstheme="minorHAnsi"/>
        </w:rPr>
        <w:tab/>
        <w:t>adres 04  - bit 0</w:t>
      </w:r>
    </w:p>
    <w:p w:rsidR="006E6392" w:rsidRDefault="00224D8F">
      <w:pPr>
        <w:rPr>
          <w:rFonts w:cstheme="minorHAnsi"/>
        </w:rPr>
      </w:pPr>
      <w:r>
        <w:rPr>
          <w:rFonts w:cstheme="minorHAnsi"/>
        </w:rPr>
        <w:t xml:space="preserve">Za sterowanie kierunkiem obrotów każdego z silników, a także za odbieranie sygnałów z wyłączników krańcowych odpowiadał ADAM4050. Sygnalizacja stanu na czujnikach krańcowych była zaimplementowana w odwróconej logice, aby w wypadku uszkodzenia czujnika lub utraty z nim połączenia została zablokowana możliwość obrotu układu w jego „kierunku”, co zapobiega uszkodzeniu pozostałych elementów układu. </w:t>
      </w:r>
    </w:p>
    <w:p w:rsidR="006E6392" w:rsidRDefault="006E6392">
      <w:pPr>
        <w:rPr>
          <w:rFonts w:cstheme="minorHAnsi"/>
        </w:rPr>
      </w:pPr>
      <w:r>
        <w:rPr>
          <w:rFonts w:cstheme="minorHAnsi"/>
        </w:rPr>
        <w:t xml:space="preserve">Wejścia cyfrowe </w:t>
      </w:r>
      <w:proofErr w:type="spellStart"/>
      <w:r>
        <w:rPr>
          <w:rFonts w:cstheme="minorHAnsi"/>
        </w:rPr>
        <w:t>ADAMa</w:t>
      </w:r>
      <w:proofErr w:type="spellEnd"/>
      <w:r>
        <w:rPr>
          <w:rFonts w:cstheme="minorHAnsi"/>
        </w:rPr>
        <w:t xml:space="preserve"> 4050 były adresowane następująco:</w:t>
      </w:r>
    </w:p>
    <w:p w:rsidR="006E6392" w:rsidRDefault="006E6392">
      <w:pPr>
        <w:rPr>
          <w:rFonts w:cstheme="minorHAnsi"/>
        </w:rPr>
      </w:pPr>
      <w:r>
        <w:rPr>
          <w:rFonts w:cstheme="minorHAnsi"/>
        </w:rPr>
        <w:t>- sygnalizacja górnego wyłącznika krańcowego:</w:t>
      </w:r>
      <w:r>
        <w:rPr>
          <w:rFonts w:cstheme="minorHAnsi"/>
        </w:rPr>
        <w:tab/>
        <w:t>adres 05 – bit 0</w:t>
      </w:r>
      <w:r>
        <w:rPr>
          <w:rFonts w:cstheme="minorHAnsi"/>
        </w:rPr>
        <w:br/>
        <w:t>- sygnalizacja dolnego wyłącznika krańcowego:</w:t>
      </w:r>
      <w:r>
        <w:rPr>
          <w:rFonts w:cstheme="minorHAnsi"/>
        </w:rPr>
        <w:tab/>
        <w:t>adres 05 – bit 1</w:t>
      </w:r>
      <w:r>
        <w:rPr>
          <w:rFonts w:cstheme="minorHAnsi"/>
        </w:rPr>
        <w:br/>
        <w:t>- sygnalizacja lewego wyłącznika krańcowego:</w:t>
      </w:r>
      <w:r>
        <w:rPr>
          <w:rFonts w:cstheme="minorHAnsi"/>
        </w:rPr>
        <w:tab/>
        <w:t>adres 05 – bit 2</w:t>
      </w:r>
      <w:r>
        <w:rPr>
          <w:rFonts w:cstheme="minorHAnsi"/>
        </w:rPr>
        <w:br/>
        <w:t>- sygnalizacja prawego wyłącznika krańcowego:</w:t>
      </w:r>
      <w:r>
        <w:rPr>
          <w:rFonts w:cstheme="minorHAnsi"/>
        </w:rPr>
        <w:tab/>
        <w:t>adres 05 – bit 3</w:t>
      </w:r>
    </w:p>
    <w:p w:rsidR="00726499" w:rsidRDefault="00224D8F">
      <w:pPr>
        <w:rPr>
          <w:rFonts w:cstheme="minorHAnsi"/>
        </w:rPr>
      </w:pPr>
      <w:r>
        <w:rPr>
          <w:rFonts w:cstheme="minorHAnsi"/>
        </w:rPr>
        <w:t xml:space="preserve">Wyjścia cyfrowe </w:t>
      </w:r>
      <w:proofErr w:type="spellStart"/>
      <w:r>
        <w:rPr>
          <w:rFonts w:cstheme="minorHAnsi"/>
        </w:rPr>
        <w:t>ADAMa</w:t>
      </w:r>
      <w:proofErr w:type="spellEnd"/>
      <w:r>
        <w:rPr>
          <w:rFonts w:cstheme="minorHAnsi"/>
        </w:rPr>
        <w:t xml:space="preserve"> 4050 były adresowane następująco:</w:t>
      </w:r>
    </w:p>
    <w:p w:rsidR="00224D8F" w:rsidRDefault="00224D8F" w:rsidP="00224D8F">
      <w:pPr>
        <w:rPr>
          <w:rFonts w:cstheme="minorHAnsi"/>
        </w:rPr>
      </w:pPr>
      <w:r>
        <w:rPr>
          <w:rFonts w:cstheme="minorHAnsi"/>
        </w:rPr>
        <w:t>- sterowanie kierunkiem ruchu silnika elewacji:</w:t>
      </w:r>
      <w:r>
        <w:rPr>
          <w:rFonts w:cstheme="minorHAnsi"/>
        </w:rPr>
        <w:tab/>
        <w:t>adres 05 – bit 4 i 5</w:t>
      </w:r>
      <w:r>
        <w:rPr>
          <w:rFonts w:cstheme="minorHAnsi"/>
        </w:rPr>
        <w:br/>
        <w:t>- sterowanie kierunkiem ruchu silnika azymutu:</w:t>
      </w:r>
      <w:r>
        <w:rPr>
          <w:rFonts w:cstheme="minorHAnsi"/>
        </w:rPr>
        <w:tab/>
        <w:t xml:space="preserve">adres 05 – bit </w:t>
      </w:r>
      <w:r w:rsidR="006E6392">
        <w:rPr>
          <w:rFonts w:cstheme="minorHAnsi"/>
        </w:rPr>
        <w:t>6 i 7</w:t>
      </w:r>
    </w:p>
    <w:p w:rsidR="006E6392" w:rsidRDefault="006E6392" w:rsidP="00224D8F">
      <w:pPr>
        <w:rPr>
          <w:rFonts w:cstheme="minorHAnsi"/>
        </w:rPr>
      </w:pPr>
      <w:r>
        <w:rPr>
          <w:rFonts w:cstheme="minorHAnsi"/>
        </w:rPr>
        <w:t>Za odbiór sygnałów analogowych z czujników oświetlenia oraz pozycji układu ogniw w osi pionowej i osi poziomej odpowiadał ADAM4018. Na jego wejściach analogowych pojawiało się napięcie korespondujące z natężeniem oświetlenia z góry, dołu, lewej i prawej układu, oraz pozycją układu.</w:t>
      </w:r>
    </w:p>
    <w:p w:rsidR="006E6392" w:rsidRDefault="006E6392" w:rsidP="00224D8F">
      <w:pPr>
        <w:rPr>
          <w:rFonts w:cstheme="minorHAnsi"/>
        </w:rPr>
      </w:pPr>
      <w:r>
        <w:rPr>
          <w:rFonts w:cstheme="minorHAnsi"/>
        </w:rPr>
        <w:t>Wejścia analogowe ADAMa4018 były adresowane następująco:</w:t>
      </w:r>
    </w:p>
    <w:p w:rsidR="00BC78C6" w:rsidRDefault="00BC78C6" w:rsidP="00BC78C6">
      <w:pPr>
        <w:rPr>
          <w:rFonts w:cstheme="minorHAnsi"/>
        </w:rPr>
      </w:pPr>
      <w:r>
        <w:rPr>
          <w:rFonts w:cstheme="minorHAnsi"/>
        </w:rPr>
        <w:t>- oświetlenie padające z góry:</w:t>
      </w:r>
      <w:r>
        <w:rPr>
          <w:rFonts w:cstheme="minorHAnsi"/>
        </w:rPr>
        <w:tab/>
        <w:t xml:space="preserve">  adres 06 kanał 0</w:t>
      </w:r>
      <w:r>
        <w:rPr>
          <w:rFonts w:cstheme="minorHAnsi"/>
        </w:rPr>
        <w:br/>
        <w:t>- oświetlenie padające z dołu:</w:t>
      </w:r>
      <w:r>
        <w:rPr>
          <w:rFonts w:cstheme="minorHAnsi"/>
        </w:rPr>
        <w:tab/>
        <w:t xml:space="preserve">  adres 06 kanał 1</w:t>
      </w:r>
      <w:r>
        <w:rPr>
          <w:rFonts w:cstheme="minorHAnsi"/>
        </w:rPr>
        <w:br/>
        <w:t>- oświetlenie padające z lewa:</w:t>
      </w:r>
      <w:r>
        <w:rPr>
          <w:rFonts w:cstheme="minorHAnsi"/>
        </w:rPr>
        <w:tab/>
        <w:t xml:space="preserve">  adres 06 kanał 2</w:t>
      </w:r>
      <w:r>
        <w:rPr>
          <w:rFonts w:cstheme="minorHAnsi"/>
        </w:rPr>
        <w:br/>
        <w:t>- oświetlenie padające z prawa:</w:t>
      </w:r>
      <w:r>
        <w:rPr>
          <w:rFonts w:cstheme="minorHAnsi"/>
        </w:rPr>
        <w:tab/>
        <w:t xml:space="preserve">  adres 06 kanał 3</w:t>
      </w:r>
    </w:p>
    <w:p w:rsidR="00BC78C6" w:rsidRPr="00657DF6" w:rsidRDefault="00BC78C6" w:rsidP="00BC78C6">
      <w:pPr>
        <w:rPr>
          <w:rFonts w:cstheme="minorHAnsi"/>
        </w:rPr>
      </w:pPr>
      <w:r>
        <w:rPr>
          <w:rFonts w:cstheme="minorHAnsi"/>
        </w:rPr>
        <w:t>- pozycja w pionie:</w:t>
      </w:r>
      <w:r>
        <w:rPr>
          <w:rFonts w:cstheme="minorHAnsi"/>
        </w:rPr>
        <w:tab/>
        <w:t>adres 06 kanał 4</w:t>
      </w:r>
      <w:r>
        <w:rPr>
          <w:rFonts w:cstheme="minorHAnsi"/>
        </w:rPr>
        <w:br/>
        <w:t>- pozycja w poziomie:</w:t>
      </w:r>
      <w:r>
        <w:rPr>
          <w:rFonts w:cstheme="minorHAnsi"/>
        </w:rPr>
        <w:tab/>
        <w:t>adres 06 kanał 5</w:t>
      </w:r>
    </w:p>
    <w:p w:rsidR="00BC78C6" w:rsidRPr="00657DF6" w:rsidRDefault="00BC78C6" w:rsidP="00BC78C6">
      <w:pPr>
        <w:rPr>
          <w:rFonts w:cstheme="minorHAnsi"/>
        </w:rPr>
      </w:pPr>
      <w:r>
        <w:rPr>
          <w:rFonts w:cstheme="minorHAnsi"/>
        </w:rPr>
        <w:t>Do zaprojektowania panelu sterującego i logiki odpowiedzialnej za sterowanie został wykorzystany komputer z zainstalowanym oprogramowaniem Genie 3.0.</w:t>
      </w:r>
    </w:p>
    <w:p w:rsidR="00657DF6" w:rsidRDefault="00657D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3. Wykonanie ćwiczenia</w:t>
      </w:r>
    </w:p>
    <w:p w:rsidR="00BC78C6" w:rsidRDefault="00BC78C6">
      <w:pPr>
        <w:rPr>
          <w:rFonts w:cstheme="minorHAnsi"/>
        </w:rPr>
      </w:pPr>
      <w:r>
        <w:rPr>
          <w:rFonts w:cstheme="minorHAnsi"/>
        </w:rPr>
        <w:t xml:space="preserve">Ćwiczenie rozpoczęto od dodania czterech przycisków typu radio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odpowiedzialnych za wybór kierunku obrotu silników, przycisku stop, który „wybijał” wszystkie pozostałe przyciski przerywając ruch układu oraz dwa suwaki regulujące napięcie podawane n</w:t>
      </w:r>
      <w:r w:rsidR="00A96AF3">
        <w:rPr>
          <w:rFonts w:cstheme="minorHAnsi"/>
        </w:rPr>
        <w:t>a silniki (0 - 8,5 dla silnika azymutu i 0 – 5V dla silnika elewacji)</w:t>
      </w:r>
      <w:r>
        <w:rPr>
          <w:rFonts w:cstheme="minorHAnsi"/>
        </w:rPr>
        <w:t xml:space="preserve"> i dwa wskaźniki cyfrowe podające z dokładnością do dwóch miejsc po przecinku wartość napięcia odbieranego od czujników pozycji przez </w:t>
      </w:r>
      <w:proofErr w:type="spellStart"/>
      <w:r>
        <w:rPr>
          <w:rFonts w:cstheme="minorHAnsi"/>
        </w:rPr>
        <w:t>ADAMa</w:t>
      </w:r>
      <w:proofErr w:type="spellEnd"/>
      <w:r w:rsidR="00E8648A">
        <w:rPr>
          <w:rFonts w:cstheme="minorHAnsi"/>
        </w:rPr>
        <w:t xml:space="preserve"> 4018.</w:t>
      </w:r>
    </w:p>
    <w:p w:rsidR="00E8648A" w:rsidRDefault="00E8648A">
      <w:pPr>
        <w:rPr>
          <w:rFonts w:cstheme="minorHAnsi"/>
        </w:rPr>
      </w:pPr>
      <w:r>
        <w:rPr>
          <w:rFonts w:cstheme="minorHAnsi"/>
        </w:rPr>
        <w:lastRenderedPageBreak/>
        <w:t xml:space="preserve">Kolejnym krokiem było dodanie odpowiednich wyjść i wejść do taska oraz nadanie im właściwych adresów. Następnie powiązano za pomocą </w:t>
      </w:r>
      <w:proofErr w:type="spellStart"/>
      <w:r>
        <w:rPr>
          <w:rFonts w:cstheme="minorHAnsi"/>
        </w:rPr>
        <w:t>tagów</w:t>
      </w:r>
      <w:proofErr w:type="spellEnd"/>
      <w:r>
        <w:rPr>
          <w:rFonts w:cstheme="minorHAnsi"/>
        </w:rPr>
        <w:t xml:space="preserve"> odpowiednie przyciski z wyjściami i powiązano wejścia analogowe z czujnikami położenia układu ogniw.</w:t>
      </w:r>
    </w:p>
    <w:p w:rsidR="00E8648A" w:rsidRDefault="00E8648A">
      <w:pPr>
        <w:rPr>
          <w:rFonts w:cstheme="minorHAnsi"/>
        </w:rPr>
      </w:pPr>
      <w:r>
        <w:rPr>
          <w:rFonts w:cstheme="minorHAnsi"/>
        </w:rPr>
        <w:t xml:space="preserve">Za pomocą tak przygotowanego starowania uruchomiono program i ustawiono układ ogniw w skrajnych pozycjach w lewo, prawo w górę i w dół. W każdym z tych położeń zapisano wartość napięcia z czujników pozycyjnych umieszczoną na wyświetlaczu na </w:t>
      </w:r>
      <w:proofErr w:type="spellStart"/>
      <w:r>
        <w:rPr>
          <w:rFonts w:cstheme="minorHAnsi"/>
        </w:rPr>
        <w:t>display’u</w:t>
      </w:r>
      <w:proofErr w:type="spellEnd"/>
      <w:r>
        <w:rPr>
          <w:rFonts w:cstheme="minorHAnsi"/>
        </w:rPr>
        <w:t>.</w:t>
      </w:r>
    </w:p>
    <w:p w:rsidR="00E8648A" w:rsidRDefault="00E8648A">
      <w:pPr>
        <w:rPr>
          <w:rFonts w:cstheme="minorHAnsi"/>
        </w:rPr>
      </w:pPr>
      <w:r>
        <w:rPr>
          <w:rFonts w:cstheme="minorHAnsi"/>
        </w:rPr>
        <w:t>Za pomocą pozyskanych wartości przeskalowano sygnały wejściowe napięć opisujących położenie układu, tak aby wartości na wyświetlaczu odnosiły się do wychylenia układu w obu osiach</w:t>
      </w:r>
      <w:r w:rsidR="006B6341">
        <w:rPr>
          <w:rFonts w:cstheme="minorHAnsi"/>
        </w:rPr>
        <w:t xml:space="preserve"> [Rys 2.1</w:t>
      </w:r>
      <w:r>
        <w:rPr>
          <w:rFonts w:cstheme="minorHAnsi"/>
        </w:rPr>
        <w:t>] w stopniach zamiast w voltach.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E8648A" w:rsidTr="00DA6074">
        <w:tc>
          <w:tcPr>
            <w:tcW w:w="9212" w:type="dxa"/>
            <w:vAlign w:val="center"/>
          </w:tcPr>
          <w:p w:rsidR="00E8648A" w:rsidRDefault="00C95A04" w:rsidP="00C95A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drawing>
                <wp:inline distT="0" distB="0" distL="0" distR="0">
                  <wp:extent cx="5762625" cy="2294890"/>
                  <wp:effectExtent l="19050" t="0" r="9525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48A" w:rsidTr="00DA6074">
        <w:tc>
          <w:tcPr>
            <w:tcW w:w="9212" w:type="dxa"/>
            <w:vAlign w:val="center"/>
          </w:tcPr>
          <w:p w:rsidR="00E8648A" w:rsidRDefault="006B6341" w:rsidP="00C95A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Rys. 2.1</w:t>
            </w:r>
            <w:r w:rsidR="00A96AF3">
              <w:rPr>
                <w:rFonts w:cstheme="minorHAnsi"/>
              </w:rPr>
              <w:t xml:space="preserve"> Zakresy ruchu układu ogniw fotowoltaicznych w obu osiach</w:t>
            </w:r>
          </w:p>
        </w:tc>
      </w:tr>
    </w:tbl>
    <w:p w:rsidR="00E8648A" w:rsidRDefault="00E8648A">
      <w:pPr>
        <w:rPr>
          <w:rFonts w:cstheme="minorHAnsi"/>
        </w:rPr>
      </w:pPr>
    </w:p>
    <w:p w:rsidR="00A96AF3" w:rsidRDefault="00A96AF3">
      <w:pPr>
        <w:rPr>
          <w:rFonts w:cstheme="minorHAnsi"/>
        </w:rPr>
      </w:pPr>
      <w:r>
        <w:rPr>
          <w:rFonts w:cstheme="minorHAnsi"/>
        </w:rPr>
        <w:t>Przeskalowane wartości z czujnika obrotu w poziomie zostały przemnożone przez -1, aby odwrócić ich wartości tak, by zgadzały się z tymi założonymi w instrukcji do ćwiczenia [Rys 1.2].</w:t>
      </w:r>
    </w:p>
    <w:p w:rsidR="00A96AF3" w:rsidRDefault="00A96AF3">
      <w:pPr>
        <w:rPr>
          <w:rFonts w:cstheme="minorHAnsi"/>
        </w:rPr>
      </w:pPr>
      <w:r>
        <w:rPr>
          <w:rFonts w:cstheme="minorHAnsi"/>
        </w:rPr>
        <w:t>Wyznaczono napięcie rozruchu obciążonych silników elektrycznych ustalając że wynosi ono około 2,5V  i na tej podstawie ustawiono wartości początkowe suwaków regulujących napięcie podawane na silnik na 2,5V.</w:t>
      </w:r>
    </w:p>
    <w:p w:rsidR="00A96AF3" w:rsidRDefault="00A96AF3">
      <w:pPr>
        <w:rPr>
          <w:rFonts w:cstheme="minorHAnsi"/>
        </w:rPr>
      </w:pPr>
      <w:r>
        <w:rPr>
          <w:rFonts w:cstheme="minorHAnsi"/>
        </w:rPr>
        <w:t xml:space="preserve">Następnie dodano do </w:t>
      </w:r>
      <w:proofErr w:type="spellStart"/>
      <w:r>
        <w:rPr>
          <w:rFonts w:cstheme="minorHAnsi"/>
        </w:rPr>
        <w:t>displaya</w:t>
      </w:r>
      <w:proofErr w:type="spellEnd"/>
      <w:r>
        <w:rPr>
          <w:rFonts w:cstheme="minorHAnsi"/>
        </w:rPr>
        <w:t xml:space="preserve"> sygnalizatory położeń krańcowych dla wszystkich kierunków</w:t>
      </w:r>
      <w:r w:rsidR="006B6341">
        <w:rPr>
          <w:rFonts w:cstheme="minorHAnsi"/>
        </w:rPr>
        <w:t xml:space="preserve"> i wyświetlacze cyfrowa pokazujące wartość napięcia na czujnikach oświetlenia znajdujących się na układzie ogniw fotowoltaicznych. W </w:t>
      </w:r>
      <w:proofErr w:type="spellStart"/>
      <w:r w:rsidR="006B6341">
        <w:rPr>
          <w:rFonts w:cstheme="minorHAnsi"/>
        </w:rPr>
        <w:t>tasku</w:t>
      </w:r>
      <w:proofErr w:type="spellEnd"/>
      <w:r w:rsidR="006B6341">
        <w:rPr>
          <w:rFonts w:cstheme="minorHAnsi"/>
        </w:rPr>
        <w:t xml:space="preserve"> zamieszczono wejścia cyfrowe ustawione na adresy czujników krańcowych i wejścia analogowe odbierające sygnały czujników oświetlenia, a następnie połączono je bezpośrednio z sygnalizatorami i wyświetlaczami w </w:t>
      </w:r>
      <w:proofErr w:type="spellStart"/>
      <w:r w:rsidR="006B6341">
        <w:rPr>
          <w:rFonts w:cstheme="minorHAnsi"/>
        </w:rPr>
        <w:t>display’u</w:t>
      </w:r>
      <w:proofErr w:type="spellEnd"/>
      <w:r w:rsidR="006B6341">
        <w:rPr>
          <w:rFonts w:cstheme="minorHAnsi"/>
        </w:rPr>
        <w:t>.</w:t>
      </w:r>
    </w:p>
    <w:p w:rsidR="006B6341" w:rsidRDefault="00DA6074">
      <w:pPr>
        <w:rPr>
          <w:rFonts w:cstheme="minorHAnsi"/>
        </w:rPr>
      </w:pPr>
      <w:r>
        <w:rPr>
          <w:rFonts w:cstheme="minorHAnsi"/>
        </w:rPr>
        <w:t>W</w:t>
      </w:r>
      <w:r w:rsidR="006B6341">
        <w:rPr>
          <w:rFonts w:cstheme="minorHAnsi"/>
        </w:rPr>
        <w:t>ygląd i realizacja programu wykonanego w Genie 3.0 zaprezentowana jest na Rys. 2.</w:t>
      </w:r>
      <w:r>
        <w:rPr>
          <w:rFonts w:cstheme="minorHAnsi"/>
        </w:rPr>
        <w:t>2 i 2.3.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A6074" w:rsidTr="00DA6074">
        <w:tc>
          <w:tcPr>
            <w:tcW w:w="9212" w:type="dxa"/>
            <w:vAlign w:val="center"/>
          </w:tcPr>
          <w:p w:rsidR="00DA6074" w:rsidRDefault="00DA6074" w:rsidP="00DA60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lastRenderedPageBreak/>
              <w:drawing>
                <wp:inline distT="0" distB="0" distL="0" distR="0">
                  <wp:extent cx="5753735" cy="2363470"/>
                  <wp:effectExtent l="1905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2363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074" w:rsidTr="00DA6074">
        <w:tc>
          <w:tcPr>
            <w:tcW w:w="9212" w:type="dxa"/>
            <w:vAlign w:val="center"/>
          </w:tcPr>
          <w:p w:rsidR="00DA6074" w:rsidRDefault="00DA6074" w:rsidP="00DA60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Rys. 2.2 Display programu realizującego sterowanie układem ogniw</w:t>
            </w:r>
          </w:p>
        </w:tc>
      </w:tr>
    </w:tbl>
    <w:p w:rsidR="00DA6074" w:rsidRDefault="00DA6074">
      <w:pPr>
        <w:rPr>
          <w:rFonts w:cstheme="min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A6074" w:rsidTr="00DA6074">
        <w:tc>
          <w:tcPr>
            <w:tcW w:w="9212" w:type="dxa"/>
            <w:vAlign w:val="center"/>
          </w:tcPr>
          <w:p w:rsidR="00DA6074" w:rsidRDefault="00DA6074" w:rsidP="00A228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drawing>
                <wp:inline distT="0" distB="0" distL="0" distR="0">
                  <wp:extent cx="5753735" cy="2579370"/>
                  <wp:effectExtent l="1905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257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074" w:rsidTr="00DA6074">
        <w:tc>
          <w:tcPr>
            <w:tcW w:w="9212" w:type="dxa"/>
            <w:vAlign w:val="center"/>
          </w:tcPr>
          <w:p w:rsidR="00DA6074" w:rsidRDefault="00DA6074" w:rsidP="00DA60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Rys. 2.2 </w:t>
            </w:r>
            <w:proofErr w:type="spellStart"/>
            <w:r>
              <w:rPr>
                <w:rFonts w:cstheme="minorHAnsi"/>
              </w:rPr>
              <w:t>Task</w:t>
            </w:r>
            <w:proofErr w:type="spellEnd"/>
            <w:r>
              <w:rPr>
                <w:rFonts w:cstheme="minorHAnsi"/>
              </w:rPr>
              <w:t xml:space="preserve"> programu realizującego sterowanie układem ogniw</w:t>
            </w:r>
          </w:p>
        </w:tc>
      </w:tr>
    </w:tbl>
    <w:p w:rsidR="00DA6074" w:rsidRDefault="00DA6074">
      <w:pPr>
        <w:rPr>
          <w:rFonts w:cstheme="minorHAnsi"/>
        </w:rPr>
      </w:pPr>
    </w:p>
    <w:p w:rsidR="006B6341" w:rsidRPr="00BC78C6" w:rsidRDefault="006B6341">
      <w:pPr>
        <w:rPr>
          <w:rFonts w:cstheme="minorHAnsi"/>
        </w:rPr>
      </w:pPr>
    </w:p>
    <w:p w:rsidR="00657DF6" w:rsidRPr="00657DF6" w:rsidRDefault="00657D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4. Wnioski</w:t>
      </w:r>
    </w:p>
    <w:sectPr w:rsidR="00657DF6" w:rsidRPr="00657DF6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57DF6"/>
    <w:rsid w:val="00224D8F"/>
    <w:rsid w:val="002A6B2F"/>
    <w:rsid w:val="002F0A30"/>
    <w:rsid w:val="0056593A"/>
    <w:rsid w:val="00657DF6"/>
    <w:rsid w:val="006B6341"/>
    <w:rsid w:val="006E6392"/>
    <w:rsid w:val="00726499"/>
    <w:rsid w:val="008777AB"/>
    <w:rsid w:val="00A96AF3"/>
    <w:rsid w:val="00B90BE7"/>
    <w:rsid w:val="00B941A8"/>
    <w:rsid w:val="00BC78C6"/>
    <w:rsid w:val="00C95A04"/>
    <w:rsid w:val="00CA316C"/>
    <w:rsid w:val="00DA6074"/>
    <w:rsid w:val="00E8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57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2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6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812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2</cp:revision>
  <dcterms:created xsi:type="dcterms:W3CDTF">2019-03-31T17:09:00Z</dcterms:created>
  <dcterms:modified xsi:type="dcterms:W3CDTF">2019-03-31T19:57:00Z</dcterms:modified>
</cp:coreProperties>
</file>