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rPr>
          <w:rFonts w:ascii="宋体" w:hAnsi="宋体" w:eastAsia="宋体"/>
          <w:b/>
          <w:color w:val="000000"/>
          <w:sz w:val="44"/>
        </w:rPr>
        <w:t>职学岗位培训系统申报准备稿</w:t>
      </w:r>
    </w:p>
    <w:p>
      <w:pPr>
        <w:widowControl/>
        <w:spacing w:after="280"/>
      </w:pPr>
      <w:r>
        <w:rPr>
          <w:rFonts w:ascii="宋体" w:hAnsi="宋体" w:eastAsia="宋体"/>
          <w:b w:val="0"/>
          <w:color w:val="000000"/>
          <w:sz w:val="22"/>
        </w:rPr>
        <w:t>职工创新成果申报前准备材料  编制日期 2026年10月19日</w:t>
      </w:r>
    </w:p>
    <w:p>
      <w:pPr>
        <w:widowControl/>
      </w:pPr>
      <w:r>
        <w:rPr>
          <w:rFonts w:ascii="宋体" w:hAnsi="宋体" w:eastAsia="宋体"/>
          <w:b/>
          <w:color w:val="000000"/>
          <w:sz w:val="22"/>
        </w:rPr>
        <w:t>当前阶段：已完成本轮开发优化，待真实试用和单位认定。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本项目由开发者自主开发，面向岗位培训中的资料整理、题目审核、练习反馈和培训记录管理。本稿用于梳理已实现功能、研发贡献和后续取证事项。项目尚未实际投入单位使用，现阶段不具备以真实应用成效为基础的完整申报证据。</w:t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一 基本信息与申报条件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7030"/>
      </w:tblGrid>
      <w:tr>
        <w:trPr>
          <w:cantSplit/>
          <w:tblHeader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项目字段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填报内容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成果名称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职学岗位培训系统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原项目名称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智学 AI  本轮优化后应用名称为职学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申报人及联系方式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待填  姓名、岗位、联系电话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所在单位及工会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待填  单位全称、所属工会、联系人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研发起止时间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待核实  按实际开发记录填写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实际应用单位与期间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尚未实际使用  试用后据实补填</w:t>
            </w:r>
          </w:p>
        </w:tc>
      </w:tr>
      <w:tr>
        <w:trPr>
          <w:cantSplit/>
        </w:trPr>
        <w:tc>
          <w:tcPr>
            <w:tcW w:type="dxa" w:w="232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申报类别</w:t>
            </w:r>
          </w:p>
        </w:tc>
        <w:tc>
          <w:tcPr>
            <w:tcW w:type="dxa" w:w="7030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待单位及受理机构核定  本稿不作资格认定</w:t>
            </w:r>
          </w:p>
        </w:tc>
      </w:tr>
    </w:tbl>
    <w:p>
      <w:pPr>
        <w:widowControl/>
        <w:spacing w:after="40"/>
      </w:pPr>
      <w:r>
        <w:rPr>
          <w:rFonts w:ascii="宋体" w:hAnsi="宋体" w:eastAsia="宋体"/>
          <w:b w:val="0"/>
          <w:color w:val="000000"/>
          <w:sz w:val="6"/>
        </w:rPr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通知第2—3页对优秀创新成果分别提出投入应用、单位认可或取得效益等要求。其中，职工技术创新优秀成果要求完成研发并投入实践应用，经所在单位认定取得明显成效；“五小”成果也要求实物投入实践应用并取得一定经济或社会效益。</w:t>
      </w:r>
    </w:p>
    <w:p>
      <w:pPr>
        <w:widowControl/>
      </w:pPr>
      <w:r>
        <w:rPr>
          <w:rFonts w:ascii="宋体" w:hAnsi="宋体" w:eastAsia="宋体"/>
          <w:b/>
          <w:color w:val="000000"/>
          <w:sz w:val="22"/>
        </w:rPr>
        <w:t>因此，应先组织真实试用，形成可核验的记录并取得单位意见，再核对人员身份、类别条件和完整通知要求后正式报送。不得把本稿中的功能说明、软件测试记录或预期价值填作已经取得的应用成效。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18"/>
        </w:rPr>
        <w:t>依据文件：自治区总工会关于开展2026年职工创新项目及优秀创新成果征集评选活动的通知，第2—3页。具体资格、材料格式和受理时限以完整通知及受理机构要求为准。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二 研发背景与成果简介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岗位培训需要以本单位有效的制度、操作说明和业务资料为依据。组织者既要准备学习内容，也要确认题目答案有据可查；学员完成练习后，还需要知道错误原因和对应原文。资料、题目与练习结果如果分散保存，后续核查题目来源、复核成绩和汇总培训情况就需要额外整理。上述内容是本项目选择解决的工作环节，尚不代表已在某一单位调查确认的问题或已量化的时间损失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职学将资料、题目、练习和记录放在同一业务流程中。管理员先建立培训人员和文本资料，随后人工录题，或在配置服务后请求 AI 生成草稿；题目经过审核发布后，学员才能选择并练习。练习由服务端判分，提交后提供解析和原文依据，并保留答题记录，供错题回顾、统计和导出使用。首次运行不预置学员、题目或成绩，页面应由实际录入和提交的数据形成。</w:t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三 已实现的业务流程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1 账号与资料准备。首次运行设置管理员，由管理员创建学员账号。管理员可粘贴资料或读取 TXT、Markdown 文本后保存标题、分类和正文。资料是否有效、适用哪个岗位、是否允许对外使用，仍由单位业务人员确认；系统不代替制度审核或文档授权管理。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2 题目形成与依据约束。支持单选、多选、判断和填空题。每题关联具体资料，并填写可在资料原文中精确找到的依据片段。录入和整批导入时校验题目结构、答案及依据，整批校验未通过时不写入该批题目。该规则使审核人能够回到原文复核，但不能自动证明题意、答案和专业解释均正确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3 审核与发布。人工题目及 AI 生成题目均应经管理员复核。AI 返回的题目作为草稿保存，未发布内容不进入学员正式练习。审核人应检查题干歧义、选项唯一性或完整性、答案与原文是否一致，以及资料适用范围，再作发布、退回或撤回处理。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4 练习与反馈。学员从已发布题目开始练习；作答期间接口不下发答案。服务端按规则判分，提交后才返回解析、依据和作答结果；同一练习会话只接受一次有效提交。学员可查看本人的练习和错题，管理员可以汇总实际记录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5 记录与导出。练习结果保留题目与答案快照，题目后续撤回不改写既有成绩。统计依据真实提交计算，提供完成情况、正确情况和题型分布等信息，并支持管理端导出业务记录，用于培训复盘和证据整理。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四 本轮开发优化与技术贡献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本轮工作以原有单页演示为基础，将交互流程扩展为本机可运行的业务系统。技术贡献主要体现在资料依据校验、审核发布控制、服务端判分和真实记录管理的组合实现。该表述说明本项目的研发内容，不作行业首创、先进性排名或知识产权权属的鉴定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资料到练习的可追溯关系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资料记录、题目引用、原文片段和练习快照构成可回查的关系。题目必须带有有效资料标识和原文依据，发布前再次进行校验；提交后的结果记录保留当时题目、正确答案、用户答案及解释。审核人员可以据此区分资料更新、题目修订和历史作答，减少仅保存一个最终分数带来的核查困难。实际减少的工作量仍需试用测量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由服务端承担关键业务判断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服务端承担身份与角色检查、题目状态检查、练习会话归属验证和提交判分。单选、判断按答案项匹配，多选按完整答案集合匹配；填空答案规范化后作精确匹配，不使用“包含某段文字即算正确”的规则。填空题须由管理员明确可接受答案，无法覆盖开放式专业问答的全部合理表达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本机持久化与账号控制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系统采用 Node.js 本地 HTTP 服务，业务数据保存在本机 JSON 文件中，以串行写入和原子替换方式降低写入冲突及不完整写入风险。默认监听本机地址，适合单机及受控试用。管理员与学员分角色访问，口令经加盐派生后保存，会话 Cookie 设置 HttpOnly 和 SameSite，写操作检查同源。上述措施构成本轮实现，不能据此宣称已通过安全认证或满足正式联网运行的全部条件。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可选 AI 接入与人工把关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AI 接入通过服务端配置兼容 OpenAI 的接口地址、模型和密钥完成，前端不接受任意服务地址或密钥。未配置或调用失败时明确提示，不以示例题替代成功结果。AI 仅参与草稿生成，资料片段仍需匹配原文，专业正确性与发布决定由人工承担。当前没有真实服务凭据，未开展在线生成效果验证；隔离测试中的模拟响应不能证明实际模型的出题准确率。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本轮采用本地文件保存方式，尚未验证跨机构、大规模并发、云端高可用或正式考试资格管理能力。项目定位为岗位学习与培训练习工具，使用范围应与已验证的环境一致。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五 软件验证与实际应用的区分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软件验证回答“既定输入下功能是否按规则运行”，真实试用回答“单位人员使用后是否解决实际问题”。项目尚未实际使用，不能用自动化测试次数、开发者操作次数或临时测试账号数量代替培训人数、应用次数或社会经济效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304"/>
        <w:gridCol w:w="3969"/>
        <w:gridCol w:w="4082"/>
      </w:tblGrid>
      <w:tr>
        <w:trPr>
          <w:cantSplit/>
          <w:tblHeader/>
        </w:trPr>
        <w:tc>
          <w:tcPr>
            <w:tcW w:type="dxa" w:w="130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验证对象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本轮软件验证范围</w:t>
            </w:r>
          </w:p>
        </w:tc>
        <w:tc>
          <w:tcPr>
            <w:tcW w:type="dxa" w:w="4082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仍待真实试用确认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资料与题目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原文片段匹配、答案结构、整批导入校验、发布状态限制</w:t>
            </w:r>
          </w:p>
        </w:tc>
        <w:tc>
          <w:tcPr>
            <w:tcW w:type="dxa" w:w="4082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真实岗位资料适用性、专业答案与题目质量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练习与成绩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服务端判分、会话归属、重复提交限制、历史题目快照</w:t>
            </w:r>
          </w:p>
        </w:tc>
        <w:tc>
          <w:tcPr>
            <w:tcW w:type="dxa" w:w="4082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学员理解难点、题型适用性、组织安排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记录与导出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由提交记录聚合统计、数据保存与重启读取、导出字段</w:t>
            </w:r>
          </w:p>
        </w:tc>
        <w:tc>
          <w:tcPr>
            <w:tcW w:type="dxa" w:w="4082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填报口径、管理端复核和归档便利性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账号与接口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管理员与学员权限边界、登录会话、异常请求处理</w:t>
            </w:r>
          </w:p>
        </w:tc>
        <w:tc>
          <w:tcPr>
            <w:tcW w:type="dxa" w:w="4082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单位账号管理流程、联网条件与备份安排</w:t>
            </w:r>
          </w:p>
        </w:tc>
      </w:tr>
      <w:tr>
        <w:trPr>
          <w:cantSplit/>
        </w:trPr>
        <w:tc>
          <w:tcPr>
            <w:tcW w:type="dxa" w:w="1304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可选 AI</w:t>
            </w:r>
          </w:p>
        </w:tc>
        <w:tc>
          <w:tcPr>
            <w:tcW w:type="dxa" w:w="3969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用模拟服务响应验证接口、失败处理和草稿审核路径</w:t>
            </w:r>
          </w:p>
        </w:tc>
        <w:tc>
          <w:tcPr>
            <w:tcW w:type="dxa" w:w="4082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真实服务可用性、实际生成质量、费用与数据边界</w:t>
            </w:r>
          </w:p>
        </w:tc>
      </w:tr>
    </w:tbl>
    <w:p>
      <w:pPr>
        <w:widowControl/>
        <w:spacing w:after="40"/>
      </w:pPr>
      <w:r>
        <w:rPr>
          <w:rFonts w:ascii="宋体" w:hAnsi="宋体" w:eastAsia="宋体"/>
          <w:b w:val="0"/>
          <w:color w:val="000000"/>
          <w:sz w:val="6"/>
        </w:rPr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正式归档的软件验证附件应记录代码版本、执行日期、运行环境、验证指令或操作步骤、结果与已知缺陷。自动化结果与浏览器操作结果分别留档。仅将最终通过的检查记为通过；未执行、执行失败和不适用项应明确记录，不以计划内容代替完成记录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尚未形成的应用证据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目前没有可以据实填报的实际应用单位、培训人员规模、培训时长变化、制题时间变化、题目审核正确率、经济效益金额或单位成效认定。相关字段应保留空白或标注“待实际填报”。不得补写演示数据、模拟样本或推算比例，以营造已经应用的印象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可核验结论的边界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本稿所述“已完成本轮开发优化”仅指本轮约定的软件实现及交付验证，仍有试用、业务审核和运行管理工作需要完成。没有权威评测、获奖、专利、软件著作权或资格证明的，不填写相应称号或编号。自主开发陈述应由本人结合源代码、开发记录和第三方依赖情况确认。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六 应用准备与真实试用安排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建议由一个明确的岗位或班组开展受控试用，使用经批准的资料，明确管理员、业务审核人和试用参与人员。人数、周期和任务由单位按实际条件确定，不在材料中预填示例数。试用应保留开始前的工作方式和测量口径，以便判断系统是否带来可复核的变化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试用前的准备事项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由单位确认资料版本、资料使用权限、适用岗位和题目审核责任人。核实运行电脑、服务启动方式、数据文件位置及备份责任；安排管理员设置、学员建号和账号保管。使用匿名编号进行成效统计，个人信息按单位规定管理。涉及外部 AI 服务时，应先批准资料传输范围，再配置服务并验证连接；不具备条件时使用人工录题路径。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默认本机 HTTP 环境不直接等同于正式联网部署。若后续向其他终端开放，需要另行配置 HTTPS、受控访问、备份恢复、运行监控和服务管理，并在对应环境重新验证。试用前应明确故障联系人、数据恢复方式及停止使用的条件。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实施过程与记录方法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先按原有方式完成一项可重复的培训准备任务，记录资料范围、题目数量、人工工作步骤和实际耗时。再在可比任务下使用系统，单独记录资料整理、录题或生成、人工审核、修改和导出的耗时。不要仅比较点击生成所需时间，遗漏审核与纠错投入。原方式无法重做时，说明基线来源及局限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由业务审核人逐题检查答案正确性、题意清晰性和原文一致性，保留通过、修改、退回及原因。组织学员完成练习，记录实际参与人数、有效练习次数、答题数量、完成情况和故障。测量题目质量时须保留分母、抽样方法和资料版本；正确率变化不能直接归因于系统，还应说明题目难度、人员差异和重复作答影响。</w:t>
      </w:r>
    </w:p>
    <w:p>
      <w:pPr>
        <w:pStyle w:val="Heading2"/>
      </w:pPr>
      <w:r>
        <w:rPr>
          <w:rFonts w:ascii="宋体" w:hAnsi="宋体" w:eastAsia="宋体"/>
          <w:b/>
          <w:color w:val="000000"/>
          <w:sz w:val="24"/>
        </w:rPr>
        <w:t>成效计算与表述规则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时间变化可按“原方式耗时－系统方式总耗时”计算，系统方式应包含审核、修改和必要维护。计算节省比例时，基线耗时必须大于零，并保留原始记录。题目审核通过率按“审核通过题数÷实际审核题数”计算；有修改后通过情形的，应与首次通过分别统计。没有实际成本依据，不换算金额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试用结束后由单位复核记录、运行限制和剩余问题，决定继续完善、扩大试用或确认应用。正式申报仅采用单位已核实的事实，说明测量期间和样本范围，避免将阶段性试用结论扩展为普遍成效。配套记录表提供空白项目，可按实际任务增页填写。</w:t>
      </w:r>
    </w:p>
    <w:p>
      <w:r>
        <w:br w:type="page"/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七 建议归档的申报证据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5726"/>
        <w:gridCol w:w="2211"/>
      </w:tblGrid>
      <w:tr>
        <w:trPr>
          <w:cantSplit/>
          <w:tblHeader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证据类别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建议材料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  <w:shd w:fill="E9EDF1"/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/>
                <w:color w:val="000000"/>
                <w:sz w:val="20"/>
              </w:rPr>
              <w:t>形成状态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研发来源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源代码版本、开发过程记录、本人贡献说明、依赖及授权情况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按实际记录整理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软件实现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功能说明、运行环境、测试报告、关键流程截图、已知限制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按最终验证结果整理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实际应用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单位试用安排、实际使用期间、参与人员记录、真实任务与导出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待真实试用形成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业务质量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逐题审核表、资料版本、原文核对记录、修改及复核意见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待业务审核形成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应用成效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基线与试用记录、计算过程、缺陷闭环、单位核实意见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待实际测量与认定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申报资格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本人岗位及身份、单位组织实施情况、类别条件、其他规定证明</w:t>
            </w:r>
          </w:p>
        </w:tc>
        <w:tc>
          <w:tcPr>
            <w:tcW w:type="dxa" w:w="2211"/>
            <w:vAlign w:val="center"/>
            <w:tcMar>
              <w:top w:w="85" w:type="dxa"/>
              <w:bottom w:w="85" w:type="dxa"/>
              <w:left w:w="105" w:type="dxa"/>
              <w:right w:w="105" w:type="dxa"/>
            </w:tcMar>
          </w:tcPr>
          <w:p>
            <w:pPr>
              <w:spacing w:line="276" w:lineRule="auto" w:after="20"/>
            </w:pPr>
            <w:r>
              <w:rPr>
                <w:rFonts w:ascii="宋体" w:hAnsi="宋体" w:eastAsia="宋体"/>
                <w:b w:val="0"/>
                <w:color w:val="000000"/>
                <w:sz w:val="20"/>
              </w:rPr>
              <w:t>待单位核实</w:t>
            </w:r>
          </w:p>
        </w:tc>
      </w:tr>
    </w:tbl>
    <w:p>
      <w:pPr>
        <w:widowControl/>
        <w:spacing w:after="40"/>
      </w:pPr>
      <w:r>
        <w:rPr>
          <w:rFonts w:ascii="宋体" w:hAnsi="宋体" w:eastAsia="宋体"/>
          <w:b w:val="0"/>
          <w:color w:val="000000"/>
          <w:sz w:val="6"/>
        </w:rPr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材料整理应保持版本一致：成果说明中的功能应能在交付版本中复现，统计数字应能追溯到原始记录，单位意见应与实际应用时间及范围相符。截图仅展示必要信息，正式报送前检查个人信息、内部资料、密钥和登录信息。</w:t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八 单位核实意见预留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以下内容由单位完成真实试用和记录复核后填写，本稿不预设认可结论。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实际应用部门及期间：______________________________________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核实的主要功能与应用范围：________________________________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核实的效果及证据编号：____________________________________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仍存在的问题与使用限制：__________________________________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单位意见：________________________________________________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负责人签字：________________  日期：______________________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单位盖章处：______________________________________________</w:t>
      </w:r>
    </w:p>
    <w:p>
      <w:pPr>
        <w:pStyle w:val="Heading1"/>
      </w:pPr>
      <w:r>
        <w:rPr>
          <w:rFonts w:ascii="宋体" w:hAnsi="宋体" w:eastAsia="宋体"/>
          <w:b/>
          <w:color w:val="000000"/>
          <w:sz w:val="30"/>
        </w:rPr>
        <w:t>九 正式报送前复核</w:t>
      </w:r>
    </w:p>
    <w:p>
      <w:pPr>
        <w:widowControl/>
      </w:pPr>
      <w:r>
        <w:rPr>
          <w:rFonts w:ascii="宋体" w:hAnsi="宋体" w:eastAsia="宋体"/>
          <w:b w:val="0"/>
          <w:color w:val="000000"/>
          <w:sz w:val="22"/>
        </w:rPr>
        <w:t>申报人和单位应再次核对完整通知、申报表模板、征集类别、人员条件、申报时间及推荐程序。补齐真实应用和成效材料后，重新修订本稿的阶段描述，删除已不适用的待填提示。未满足应用、认定或效益要求时，应继续作为准备材料保存。</w:t>
      </w:r>
    </w:p>
    <w:sectPr w:rsidR="00FC693F" w:rsidRPr="0006063C" w:rsidSect="00034616">
      <w:footerReference w:type="default" r:id="rId9"/>
      <w:pgSz w:w="11906" w:h="16838"/>
      <w:pgMar w:top="1191" w:right="1276" w:bottom="107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color w:val="000000"/>
        <w:sz w:val="18"/>
      </w:rPr>
      <w:t xml:space="preserve">第 </w:t>
    </w:r>
    <w:fldSimple w:instr="PAGE"/>
    <w:r>
      <w:rPr>
        <w:rFonts w:ascii="宋体" w:hAnsi="宋体" w:eastAsia="宋体"/>
        <w:b w:val="0"/>
        <w:color w:val="00000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40"/>
    </w:pPr>
    <w:rPr>
      <w:rFonts w:ascii="宋体" w:hAnsi="宋体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20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2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宋体" w:hAnsi="宋体" w:eastAsia="宋体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岗位培训工具申报准备与真实试用记录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