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rightMargin">
                  <wp:posOffset>-209550</wp:posOffset>
                </wp:positionH>
                <wp:positionV relativeFrom="paragraph">
                  <wp:posOffset>-412750</wp:posOffset>
                </wp:positionV>
                <wp:extent cx="304800" cy="219075"/>
                <wp:effectExtent l="0" t="0" r="19050" b="28575"/>
                <wp:wrapNone/>
                <wp:docPr id="39175439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o:spt="1" style="position:absolute;left:0pt;margin-left:536.25pt;margin-top:35.7pt;height:17.25pt;width:24pt;mso-position-horizontal-relative:page;mso-position-vertical-relative:page;z-index:251659264;v-text-anchor:middle;mso-width-relative:page;mso-height-relative:page;" fillcolor="#FFFFFF [3212]" filled="t" stroked="t" coordsize="21600,21600" o:gfxdata="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EAd/m1AAA&#10;AAoBAAAPAAAAAAAAAAEAIAAAACIAAABkcnMvZG93bnJldi54bWxQSwECFAAUAAAACACHTuJAE9t3&#10;QJQCAAAaBQAADgAAAAAAAAABACAAAAAjAQAAZHJzL2Uyb0RvYy54bWxQSwUGAAAAAAYABgBZAQAA&#10;KQY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color w:val="000000"/>
          <w:szCs w:val="28"/>
        </w:rPr>
        <w:t>ГОСУДАРСТВЕННОЕ ОБРАЗОВАТЕЛЬНОЕ УЧРЕЖДЕНИЕ</w:t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ВЫСШЕГО ПРОФЕССИОНАЛЬНОГО ОБРАЗОВАНИЯ</w:t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"ДОНЕЦКИЙ НАЦИОНАЛЬНЫЙ ТЕХНИЧЕСКИЙ УНИВЕРСИТЕТ"</w:t>
      </w: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szCs w:val="28"/>
        </w:rPr>
      </w:pPr>
    </w:p>
    <w:p>
      <w:pPr>
        <w:autoSpaceDE w:val="0"/>
        <w:autoSpaceDN w:val="0"/>
        <w:adjustRightInd w:val="0"/>
        <w:spacing w:after="0" w:line="360" w:lineRule="auto"/>
        <w:ind w:left="10" w:right="1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Факультет ИСП </w:t>
      </w:r>
    </w:p>
    <w:p>
      <w:pPr>
        <w:autoSpaceDE w:val="0"/>
        <w:autoSpaceDN w:val="0"/>
        <w:adjustRightInd w:val="0"/>
        <w:spacing w:after="0" w:line="360" w:lineRule="auto"/>
        <w:ind w:left="10" w:right="1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Кафедра ПИ им Л.П. Фельдмана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before="11" w:after="0" w:line="240" w:lineRule="auto"/>
        <w:rPr>
          <w:rFonts w:eastAsia="Times New Roman" w:cs="Times New Roman"/>
          <w:kern w:val="0"/>
          <w:sz w:val="29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ind w:left="385" w:right="390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ОТЧЕТ</w:t>
      </w:r>
    </w:p>
    <w:p>
      <w:pPr>
        <w:widowControl w:val="0"/>
        <w:autoSpaceDE w:val="0"/>
        <w:autoSpaceDN w:val="0"/>
        <w:spacing w:before="162" w:after="0" w:line="240" w:lineRule="auto"/>
        <w:ind w:left="384" w:right="391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по</w:t>
      </w:r>
      <w:r>
        <w:rPr>
          <w:rFonts w:eastAsia="Times New Roman" w:cs="Times New Roman"/>
          <w:spacing w:val="-4"/>
          <w:kern w:val="0"/>
          <w:szCs w:val="28"/>
          <w14:ligatures w14:val="none"/>
        </w:rPr>
        <w:t xml:space="preserve"> </w:t>
      </w:r>
      <w:r>
        <w:t>производственной практике: научно-исследовательская работа</w:t>
      </w:r>
    </w:p>
    <w:p>
      <w:pPr>
        <w:widowControl w:val="0"/>
        <w:autoSpaceDE w:val="0"/>
        <w:autoSpaceDN w:val="0"/>
        <w:spacing w:before="160" w:after="0" w:line="360" w:lineRule="auto"/>
        <w:ind w:left="385" w:right="391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по теме: «</w:t>
      </w:r>
      <w:r>
        <w:rPr>
          <w:rFonts w:cs="Times New Roman"/>
          <w:szCs w:val="28"/>
        </w:rPr>
        <w:t xml:space="preserve">Разработка </w:t>
      </w:r>
      <w:r>
        <w:rPr>
          <w:rFonts w:hint="default" w:cs="Times New Roman"/>
          <w:szCs w:val="28"/>
          <w:lang w:val="ru-RU"/>
        </w:rPr>
        <w:t>мессенджера</w:t>
      </w:r>
      <w:r>
        <w:rPr>
          <w:rFonts w:cs="Times New Roman"/>
          <w:szCs w:val="28"/>
        </w:rPr>
        <w:t>»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tabs>
          <w:tab w:val="left" w:pos="7061"/>
        </w:tabs>
        <w:autoSpaceDE w:val="0"/>
        <w:autoSpaceDN w:val="0"/>
        <w:spacing w:after="0" w:line="240" w:lineRule="auto"/>
        <w:ind w:left="101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Руководители:                                                                      </w:t>
      </w:r>
      <w:r>
        <w:rPr>
          <w:rFonts w:hint="default" w:eastAsia="Times New Roman" w:cs="Times New Roman"/>
          <w:kern w:val="0"/>
          <w:szCs w:val="28"/>
          <w:lang w:val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>Выполнил:</w:t>
      </w:r>
    </w:p>
    <w:p>
      <w:pPr>
        <w:widowControl w:val="0"/>
        <w:autoSpaceDE w:val="0"/>
        <w:autoSpaceDN w:val="0"/>
        <w:spacing w:before="161" w:after="0" w:line="360" w:lineRule="auto"/>
        <w:ind w:left="75" w:right="115" w:firstLine="1414" w:firstLineChars="0"/>
        <w:rPr>
          <w:rFonts w:eastAsia="Times New Roman" w:cs="Times New Roman"/>
          <w:kern w:val="0"/>
          <w:sz w:val="3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                                                                          </w:t>
      </w:r>
      <w:r>
        <w:rPr>
          <w:rFonts w:hint="default" w:eastAsia="Times New Roman" w:cs="Times New Roman"/>
          <w:kern w:val="0"/>
          <w:szCs w:val="28"/>
          <w:lang w:val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>Студент гр. ПИ-20б</w:t>
      </w:r>
      <w:r>
        <w:rPr>
          <w:rFonts w:eastAsia="Times New Roman" w:cs="Times New Roman"/>
          <w:spacing w:val="-67"/>
          <w:kern w:val="0"/>
          <w:szCs w:val="28"/>
          <w14:ligatures w14:val="none"/>
        </w:rPr>
        <w:t xml:space="preserve">                 </w:t>
      </w:r>
      <w:r>
        <w:rPr>
          <w:rFonts w:eastAsia="Times New Roman" w:cs="Times New Roman"/>
          <w:kern w:val="0"/>
          <w:sz w:val="30"/>
          <w:szCs w:val="28"/>
          <w:lang w:val="ru-RU"/>
          <w14:ligatures w14:val="none"/>
        </w:rPr>
        <w:t>Щедрин</w:t>
      </w:r>
      <w:r>
        <w:rPr>
          <w:rFonts w:hint="default" w:eastAsia="Times New Roman" w:cs="Times New Roman"/>
          <w:kern w:val="0"/>
          <w:sz w:val="30"/>
          <w:szCs w:val="28"/>
          <w:lang w:val="ru-RU"/>
          <w14:ligatures w14:val="none"/>
        </w:rPr>
        <w:t xml:space="preserve"> С.В.</w:t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eastAsia="Times New Roman" w:cs="Times New Roman"/>
          <w:kern w:val="0"/>
          <w:sz w:val="30"/>
          <w:szCs w:val="28"/>
          <w14:ligatures w14:val="none"/>
        </w:rPr>
        <w:t xml:space="preserve">           </w:t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eastAsia="Times New Roman" w:cs="Times New Roman"/>
          <w:kern w:val="0"/>
          <w:sz w:val="30"/>
          <w:szCs w:val="28"/>
          <w14:ligatures w14:val="none"/>
        </w:rPr>
        <w:tab/>
      </w:r>
      <w:r>
        <w:rPr>
          <w:rFonts w:hint="default" w:eastAsia="Times New Roman" w:cs="Times New Roman"/>
          <w:kern w:val="0"/>
          <w:sz w:val="30"/>
          <w:szCs w:val="28"/>
          <w:lang w:val="ru-RU"/>
          <w14:ligatures w14:val="none"/>
        </w:rPr>
        <w:t xml:space="preserve">      </w:t>
      </w:r>
      <w:r>
        <w:rPr>
          <w:rFonts w:eastAsia="Times New Roman" w:cs="Times New Roman"/>
          <w:kern w:val="0"/>
          <w:sz w:val="30"/>
          <w:szCs w:val="28"/>
          <w:lang w:val="ru-RU"/>
          <w14:ligatures w14:val="none"/>
        </w:rPr>
        <w:t>Безуглый</w:t>
      </w:r>
      <w:r>
        <w:rPr>
          <w:rFonts w:hint="default" w:eastAsia="Times New Roman" w:cs="Times New Roman"/>
          <w:kern w:val="0"/>
          <w:sz w:val="30"/>
          <w:szCs w:val="28"/>
          <w:lang w:val="ru-RU"/>
          <w14:ligatures w14:val="none"/>
        </w:rPr>
        <w:t xml:space="preserve"> В</w:t>
      </w:r>
      <w:r>
        <w:rPr>
          <w:rFonts w:eastAsia="Times New Roman" w:cs="Times New Roman"/>
          <w:kern w:val="0"/>
          <w:sz w:val="30"/>
          <w:szCs w:val="28"/>
          <w14:ligatures w14:val="none"/>
        </w:rPr>
        <w:t>.</w:t>
      </w:r>
      <w:r>
        <w:rPr>
          <w:rFonts w:eastAsia="Times New Roman" w:cs="Times New Roman"/>
          <w:kern w:val="0"/>
          <w:sz w:val="30"/>
          <w:szCs w:val="28"/>
          <w:lang w:val="ru-RU"/>
          <w14:ligatures w14:val="none"/>
        </w:rPr>
        <w:t>В</w:t>
      </w:r>
      <w:r>
        <w:rPr>
          <w:rFonts w:eastAsia="Times New Roman" w:cs="Times New Roman"/>
          <w:kern w:val="0"/>
          <w:sz w:val="30"/>
          <w:szCs w:val="28"/>
          <w14:ligatures w14:val="none"/>
        </w:rPr>
        <w:t>.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0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6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kern w:val="0"/>
          <w:sz w:val="36"/>
          <w:szCs w:val="28"/>
          <w14:ligatures w14:val="none"/>
        </w:rPr>
      </w:pPr>
    </w:p>
    <w:p>
      <w:pPr>
        <w:widowControl w:val="0"/>
        <w:autoSpaceDE w:val="0"/>
        <w:autoSpaceDN w:val="0"/>
        <w:spacing w:after="0" w:line="240" w:lineRule="auto"/>
        <w:ind w:left="385" w:right="391"/>
        <w:jc w:val="center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Донецк</w:t>
      </w:r>
      <w:r>
        <w:rPr>
          <w:rFonts w:eastAsia="Times New Roman" w:cs="Times New Roman"/>
          <w:spacing w:val="-3"/>
          <w:kern w:val="0"/>
          <w:szCs w:val="28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>2024</w:t>
      </w:r>
    </w:p>
    <w:p>
      <w:pPr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br w:type="page"/>
      </w:r>
    </w:p>
    <w:p>
      <w:pPr>
        <w:pStyle w:val="14"/>
        <w:jc w:val="center"/>
        <w:rPr>
          <w:rFonts w:eastAsia="Times New Roman"/>
        </w:rPr>
      </w:pPr>
      <w:bookmarkStart w:id="0" w:name="_Toc159527850"/>
      <w:r>
        <w:rPr>
          <w:rFonts w:cs="Times New Roman"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-408940</wp:posOffset>
                </wp:positionV>
                <wp:extent cx="304800" cy="219075"/>
                <wp:effectExtent l="0" t="0" r="19050" b="28575"/>
                <wp:wrapNone/>
                <wp:docPr id="1420512333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o:spt="1" style="position:absolute;left:0pt;margin-top:-32.2pt;height:17.25pt;width:24pt;mso-position-horizontal:right;mso-position-horizontal-relative:margin;z-index:251660288;v-text-anchor:middle;mso-width-relative:page;mso-height-relative:page;" fillcolor="#FFFFFF [3212]" filled="t" stroked="t" coordsize="21600,21600" o:gfxdata="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kQlNptYA&#10;AAAHAQAADwAAAAAAAAABACAAAAAiAAAAZHJzL2Rvd25yZXYueG1sUEsBAhQAFAAAAAgAh07iQMlN&#10;uZOTAgAAGwUAAA4AAAAAAAAAAQAgAAAAJQEAAGRycy9lMm9Eb2MueG1sUEsFBgAAAAAGAAYAWQEA&#10;ACoG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</w:rPr>
        <w:t>РЕФЕРАТ</w:t>
      </w:r>
      <w:bookmarkEnd w:id="0"/>
    </w:p>
    <w:p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                 </w:t>
      </w:r>
    </w:p>
    <w:p>
      <w:pPr>
        <w:spacing w:after="0" w:line="36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>
      <w:pPr>
        <w:spacing w:after="0" w:line="360" w:lineRule="auto"/>
        <w:ind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Отчет о проделанной работе содержит: 31 страницу, 6 рисунков, 1 таблица, 11 источников.     </w:t>
      </w:r>
    </w:p>
    <w:p>
      <w:pPr>
        <w:autoSpaceDE w:val="0"/>
        <w:autoSpaceDN w:val="0"/>
        <w:adjustRightInd w:val="0"/>
        <w:spacing w:after="0" w:line="360" w:lineRule="auto"/>
        <w:ind w:firstLine="709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zh-CN"/>
          <w14:ligatures w14:val="none"/>
        </w:rPr>
        <w:t xml:space="preserve">Объект исследования – разработка </w:t>
      </w:r>
      <w:r>
        <w:rPr>
          <w:rFonts w:eastAsia="Times New Roman" w:cs="Times New Roman"/>
          <w:kern w:val="0"/>
          <w:szCs w:val="28"/>
          <w:lang w:val="ru-RU" w:eastAsia="zh-CN"/>
          <w14:ligatures w14:val="none"/>
        </w:rPr>
        <w:t>мессенджера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 xml:space="preserve">, интерфейса, программных модулей средствами </w:t>
      </w:r>
      <w:r>
        <w:rPr>
          <w:rFonts w:hint="default" w:eastAsia="Times New Roman" w:cs="Times New Roman"/>
          <w:kern w:val="0"/>
          <w:szCs w:val="28"/>
          <w:lang w:val="en-US" w:eastAsia="zh-CN"/>
          <w14:ligatures w14:val="none"/>
        </w:rPr>
        <w:t xml:space="preserve">Golang, Echo </w:t>
      </w:r>
      <w:r>
        <w:rPr>
          <w:rFonts w:hint="default" w:eastAsia="Times New Roman" w:cs="Times New Roman"/>
          <w:kern w:val="0"/>
          <w:szCs w:val="28"/>
          <w:lang w:val="ru-RU" w:eastAsia="zh-CN"/>
          <w14:ligatures w14:val="none"/>
        </w:rPr>
        <w:t>и базы данных</w:t>
      </w:r>
      <w:r>
        <w:rPr>
          <w:rFonts w:hint="default" w:eastAsia="Times New Roman" w:cs="Times New Roman"/>
          <w:kern w:val="0"/>
          <w:szCs w:val="28"/>
          <w:lang w:val="en-US" w:eastAsia="zh-CN"/>
          <w14:ligatures w14:val="none"/>
        </w:rPr>
        <w:t xml:space="preserve"> PostgreSQL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>.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ab/>
      </w:r>
    </w:p>
    <w:p>
      <w:pPr>
        <w:autoSpaceDE w:val="0"/>
        <w:autoSpaceDN w:val="0"/>
        <w:adjustRightInd w:val="0"/>
        <w:spacing w:after="0" w:line="360" w:lineRule="auto"/>
        <w:ind w:firstLine="706"/>
        <w:rPr>
          <w:rFonts w:eastAsia="Times New Roman" w:cs="Times New Roman"/>
          <w:kern w:val="0"/>
          <w:szCs w:val="28"/>
          <w:lang w:eastAsia="zh-CN"/>
          <w14:ligatures w14:val="none"/>
        </w:rPr>
      </w:pPr>
      <w:r>
        <w:rPr>
          <w:rFonts w:eastAsia="Times New Roman" w:cs="Times New Roman"/>
          <w:kern w:val="0"/>
          <w:szCs w:val="28"/>
          <w:lang w:eastAsia="zh-CN"/>
          <w14:ligatures w14:val="none"/>
        </w:rPr>
        <w:t xml:space="preserve">Цель данного исследования заключается в освоении принципов разработки </w:t>
      </w:r>
      <w:r>
        <w:rPr>
          <w:rFonts w:eastAsia="Times New Roman" w:cs="Times New Roman"/>
          <w:kern w:val="0"/>
          <w:szCs w:val="28"/>
          <w:lang w:val="ru-RU" w:eastAsia="zh-CN"/>
          <w14:ligatures w14:val="none"/>
        </w:rPr>
        <w:t>мессенджера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 xml:space="preserve">, приобретении теоретических знаний и практических навыков в создании </w:t>
      </w:r>
      <w:r>
        <w:rPr>
          <w:rFonts w:eastAsia="Times New Roman" w:cs="Times New Roman"/>
          <w:kern w:val="0"/>
          <w:szCs w:val="28"/>
          <w:lang w:val="ru-RU" w:eastAsia="zh-CN"/>
          <w14:ligatures w14:val="none"/>
        </w:rPr>
        <w:t>веб</w:t>
      </w:r>
      <w:r>
        <w:rPr>
          <w:rFonts w:hint="default" w:eastAsia="Times New Roman" w:cs="Times New Roman"/>
          <w:kern w:val="0"/>
          <w:szCs w:val="28"/>
          <w:lang w:val="ru-RU" w:eastAsia="zh-CN"/>
          <w14:ligatures w14:val="none"/>
        </w:rPr>
        <w:t xml:space="preserve"> приложений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 xml:space="preserve">, а также языка программирования </w:t>
      </w:r>
      <w:r>
        <w:rPr>
          <w:rFonts w:hint="default" w:eastAsia="Times New Roman" w:cs="Times New Roman"/>
          <w:kern w:val="0"/>
          <w:szCs w:val="28"/>
          <w:lang w:val="en-US" w:eastAsia="zh-CN"/>
          <w14:ligatures w14:val="none"/>
        </w:rPr>
        <w:t>Golong</w:t>
      </w:r>
      <w:r>
        <w:rPr>
          <w:rFonts w:eastAsia="Times New Roman" w:cs="Times New Roman"/>
          <w:kern w:val="0"/>
          <w:szCs w:val="28"/>
          <w:lang w:eastAsia="zh-CN"/>
          <w14:ligatures w14:val="none"/>
        </w:rPr>
        <w:t>. В рамках проведенного исследования предполагается анализ аналогичных игровых систем и рассмотрение вопросов, связанных с охраной труда в данной предметной области.</w:t>
      </w:r>
    </w:p>
    <w:p>
      <w:pPr>
        <w:spacing w:after="0" w:line="360" w:lineRule="auto"/>
        <w:ind w:firstLine="706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spacing w:after="0" w:line="36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widowControl w:val="0"/>
        <w:autoSpaceDE w:val="0"/>
        <w:autoSpaceDN w:val="0"/>
        <w:spacing w:after="0" w:line="360" w:lineRule="auto"/>
        <w:ind w:right="391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>GOLANG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>ECHO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POSTGRESQL,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hint="default" w:eastAsia="Times New Roman" w:cs="Times New Roman"/>
          <w:kern w:val="0"/>
          <w:szCs w:val="28"/>
          <w:lang w:val="ru-RU" w:eastAsia="ru-RU"/>
          <w14:ligatures w14:val="none"/>
        </w:rPr>
        <w:t>МЕССЕНДЖЕР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 ВЕБ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>-ПРИЛОЖЕНИЕ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 ИНТЕРФЕЙС, ВИЗУАЛЬНЫЕ ЭЛЕМЕНТЫ, ПРОГРАММНЫЕ МОДУЛИ</w:t>
      </w:r>
    </w:p>
    <w:p>
      <w:pPr>
        <w:pStyle w:val="14"/>
        <w:jc w:val="center"/>
        <w:rPr>
          <w:rFonts w:eastAsia="Times New Roman"/>
        </w:rPr>
      </w:pPr>
      <w:bookmarkStart w:id="1" w:name="_Toc159527851"/>
      <w:r>
        <w:rPr>
          <w:rFonts w:cs="Times New Roman"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rightMargin">
                  <wp:posOffset>-196215</wp:posOffset>
                </wp:positionH>
                <wp:positionV relativeFrom="paragraph">
                  <wp:posOffset>-457835</wp:posOffset>
                </wp:positionV>
                <wp:extent cx="304800" cy="219075"/>
                <wp:effectExtent l="0" t="0" r="19050" b="28575"/>
                <wp:wrapNone/>
                <wp:docPr id="2038287830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o:spt="1" style="position:absolute;left:0pt;margin-left:537.3pt;margin-top:32.15pt;height:17.25pt;width:24pt;mso-position-horizontal-relative:page;mso-position-vertical-relative:page;z-index:251661312;v-text-anchor:middle;mso-width-relative:page;mso-height-relative:page;" fillcolor="#FFFFFF [3212]" filled="t" stroked="t" coordsize="21600,21600" o:gfxdata="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N37l3DX&#10;AAAACgEAAA8AAAAAAAAAAQAgAAAAIgAAAGRycy9kb3ducmV2LnhtbFBLAQIUABQAAAAIAIdO4kAx&#10;Eq+dkwIAABsFAAAOAAAAAAAAAAEAIAAAACYBAABkcnMvZTJvRG9jLnhtbFBLBQYAAAAABgAGAFkB&#10;AAArBgAAAAA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</w:rPr>
        <w:t>СОДЕРЖАНИЕ</w:t>
      </w:r>
      <w:bookmarkEnd w:id="1"/>
    </w:p>
    <w:sdt>
      <w:sdtPr>
        <w:rPr>
          <w:rFonts w:ascii="Times New Roman" w:hAnsi="Times New Roman" w:eastAsiaTheme="minorHAnsi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130365797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>
          <w:pPr>
            <w:pStyle w:val="25"/>
          </w:pP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"_Toc159527850" </w:instrText>
          </w:r>
          <w:r>
            <w:fldChar w:fldCharType="separate"/>
          </w:r>
          <w:r>
            <w:rPr>
              <w:rStyle w:val="6"/>
              <w:rFonts w:eastAsia="Times New Roman"/>
            </w:rPr>
            <w:t>РЕФЕРАТ</w:t>
          </w:r>
          <w:r>
            <w:tab/>
          </w:r>
          <w:r>
            <w:fldChar w:fldCharType="begin"/>
          </w:r>
          <w:r>
            <w:instrText xml:space="preserve"> PAGEREF _Toc159527850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"_Toc159527851" </w:instrText>
          </w:r>
          <w:r>
            <w:fldChar w:fldCharType="separate"/>
          </w:r>
          <w:r>
            <w:rPr>
              <w:rStyle w:val="6"/>
              <w:rFonts w:eastAsia="Times New Roman"/>
            </w:rPr>
            <w:t>СОДЕРЖАНИЕ</w:t>
          </w:r>
          <w:r>
            <w:tab/>
          </w:r>
          <w:r>
            <w:fldChar w:fldCharType="begin"/>
          </w:r>
          <w:r>
            <w:instrText xml:space="preserve"> PAGEREF _Toc159527851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"_Toc159527852" </w:instrText>
          </w:r>
          <w:r>
            <w:fldChar w:fldCharType="separate"/>
          </w:r>
          <w:r>
            <w:rPr>
              <w:rStyle w:val="6"/>
              <w:rFonts w:eastAsia="Times New Roman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_Toc159527852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"_Toc159527853" </w:instrText>
          </w:r>
          <w:r>
            <w:fldChar w:fldCharType="separate"/>
          </w:r>
          <w:r>
            <w:rPr>
              <w:rStyle w:val="6"/>
            </w:rPr>
            <w:t>1.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6"/>
            </w:rPr>
            <w:t>СИСТЕМНЫЙ АНАЛИЗ ПРЕДМЕТНОЙ ОБЛАСТИ</w:t>
          </w:r>
          <w:r>
            <w:tab/>
          </w:r>
          <w:r>
            <w:fldChar w:fldCharType="begin"/>
          </w:r>
          <w:r>
            <w:instrText xml:space="preserve"> PAGEREF _Toc159527853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"_Toc159527854" </w:instrText>
          </w:r>
          <w:r>
            <w:fldChar w:fldCharType="separate"/>
          </w:r>
          <w:r>
            <w:rPr>
              <w:rStyle w:val="6"/>
            </w:rPr>
            <w:t>1.1 Общая характеристика задачи</w:t>
          </w:r>
          <w:r>
            <w:tab/>
          </w:r>
          <w:r>
            <w:fldChar w:fldCharType="begin"/>
          </w:r>
          <w:r>
            <w:instrText xml:space="preserve"> PAGEREF _Toc159527854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"_Toc159527855" </w:instrText>
          </w:r>
          <w:r>
            <w:fldChar w:fldCharType="separate"/>
          </w:r>
          <w:r>
            <w:rPr>
              <w:rStyle w:val="6"/>
            </w:rPr>
            <w:t>1.2 Анализ</w:t>
          </w:r>
          <w:r>
            <w:rPr>
              <w:rStyle w:val="6"/>
              <w:lang w:val="uk-UA"/>
            </w:rPr>
            <w:t xml:space="preserve"> аналогичных сист</w:t>
          </w:r>
          <w:r>
            <w:rPr>
              <w:rStyle w:val="6"/>
            </w:rPr>
            <w:t>ем</w:t>
          </w:r>
          <w:r>
            <w:tab/>
          </w:r>
          <w:r>
            <w:fldChar w:fldCharType="begin"/>
          </w:r>
          <w:r>
            <w:instrText xml:space="preserve"> PAGEREF _Toc159527855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"_Toc159527856" </w:instrText>
          </w:r>
          <w:r>
            <w:fldChar w:fldCharType="separate"/>
          </w:r>
          <w:r>
            <w:rPr>
              <w:rStyle w:val="6"/>
            </w:rPr>
            <w:t>1.3 Постановка цели и задач работы</w:t>
          </w:r>
          <w:r>
            <w:tab/>
          </w:r>
          <w:r>
            <w:fldChar w:fldCharType="begin"/>
          </w:r>
          <w:r>
            <w:instrText xml:space="preserve"> PAGEREF _Toc159527856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"_Toc159527857" </w:instrText>
          </w:r>
          <w:r>
            <w:fldChar w:fldCharType="separate"/>
          </w:r>
          <w:r>
            <w:rPr>
              <w:rStyle w:val="6"/>
              <w:rFonts w:eastAsia="Times New Roman"/>
            </w:rPr>
            <w:t>2. ОХРАНА ТРУДА, ВОПРОСЫ БЖД И ГРАЖДАНСКОЙ ОБОРОНЫ</w:t>
          </w:r>
          <w:r>
            <w:tab/>
          </w:r>
          <w:r>
            <w:fldChar w:fldCharType="begin"/>
          </w:r>
          <w:r>
            <w:instrText xml:space="preserve"> PAGEREF _Toc159527857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"_Toc159527858" </w:instrText>
          </w:r>
          <w:r>
            <w:fldChar w:fldCharType="separate"/>
          </w:r>
          <w:r>
            <w:rPr>
              <w:rStyle w:val="6"/>
              <w:rFonts w:eastAsia="Times New Roman"/>
            </w:rPr>
            <w:t>2.1 Анализ характеристик и потенциальных опасностей и вредностей в помещении при разработке компьютерной игры</w:t>
          </w:r>
          <w:r>
            <w:tab/>
          </w:r>
          <w:r>
            <w:fldChar w:fldCharType="begin"/>
          </w:r>
          <w:r>
            <w:instrText xml:space="preserve"> PAGEREF _Toc159527858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"_Toc159527859" </w:instrText>
          </w:r>
          <w:r>
            <w:fldChar w:fldCharType="separate"/>
          </w:r>
          <w:r>
            <w:rPr>
              <w:rStyle w:val="6"/>
            </w:rPr>
            <w:t>2.2 Выбор и обоснование мероприятий для создания нормальных и безопасных условий труда</w:t>
          </w:r>
          <w:r>
            <w:tab/>
          </w:r>
          <w:r>
            <w:fldChar w:fldCharType="begin"/>
          </w:r>
          <w:r>
            <w:instrText xml:space="preserve"> PAGEREF _Toc159527859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"_Toc159527860" </w:instrText>
          </w:r>
          <w:r>
            <w:fldChar w:fldCharType="separate"/>
          </w:r>
          <w:r>
            <w:rPr>
              <w:rStyle w:val="6"/>
            </w:rPr>
            <w:t>2.2.1 Расчет освещенности помещения</w:t>
          </w:r>
          <w:r>
            <w:tab/>
          </w:r>
          <w:r>
            <w:fldChar w:fldCharType="begin"/>
          </w:r>
          <w:r>
            <w:instrText xml:space="preserve"> PAGEREF _Toc159527860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"_Toc159527861" </w:instrText>
          </w:r>
          <w:r>
            <w:fldChar w:fldCharType="separate"/>
          </w:r>
          <w:r>
            <w:rPr>
              <w:rStyle w:val="6"/>
            </w:rPr>
            <w:t>2.3 Обеспечение пожарной безопасности</w:t>
          </w:r>
          <w:r>
            <w:tab/>
          </w:r>
          <w:r>
            <w:fldChar w:fldCharType="begin"/>
          </w:r>
          <w:r>
            <w:instrText xml:space="preserve"> PAGEREF _Toc159527861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"_Toc159527862" </w:instrText>
          </w:r>
          <w:r>
            <w:fldChar w:fldCharType="separate"/>
          </w:r>
          <w:r>
            <w:rPr>
              <w:rStyle w:val="6"/>
            </w:rPr>
            <w:t>2.4 Вопросы гражданской обороны</w:t>
          </w:r>
          <w:r>
            <w:tab/>
          </w:r>
          <w:r>
            <w:fldChar w:fldCharType="begin"/>
          </w:r>
          <w:r>
            <w:instrText xml:space="preserve"> PAGEREF _Toc159527862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"_Toc159527863" </w:instrText>
          </w:r>
          <w:r>
            <w:fldChar w:fldCharType="separate"/>
          </w:r>
          <w:r>
            <w:rPr>
              <w:rStyle w:val="6"/>
            </w:rPr>
            <w:t>2.5 Вопросы безопасности жизнедеятельности человека</w:t>
          </w:r>
          <w:r>
            <w:tab/>
          </w:r>
          <w:r>
            <w:fldChar w:fldCharType="begin"/>
          </w:r>
          <w:r>
            <w:instrText xml:space="preserve"> PAGEREF _Toc159527863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"_Toc159527864" </w:instrText>
          </w:r>
          <w:r>
            <w:fldChar w:fldCharType="separate"/>
          </w:r>
          <w:r>
            <w:rPr>
              <w:rStyle w:val="6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_Toc159527864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4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"_Toc159527865" </w:instrText>
          </w:r>
          <w:r>
            <w:fldChar w:fldCharType="separate"/>
          </w:r>
          <w:r>
            <w:rPr>
              <w:rStyle w:val="6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_Toc159527865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widowControl w:val="0"/>
        <w:autoSpaceDE w:val="0"/>
        <w:autoSpaceDN w:val="0"/>
        <w:spacing w:after="0" w:line="360" w:lineRule="auto"/>
        <w:ind w:right="391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>
      <w:pPr>
        <w:pStyle w:val="14"/>
        <w:jc w:val="center"/>
        <w:rPr>
          <w:rFonts w:eastAsia="Times New Roman"/>
        </w:rPr>
      </w:pPr>
      <w:bookmarkStart w:id="2" w:name="_Toc516220562"/>
      <w:bookmarkStart w:id="3" w:name="_Toc159527852"/>
      <w:r>
        <w:rPr>
          <w:rFonts w:eastAsia="Times New Roman"/>
        </w:rPr>
        <w:t>ВВЕДЕНИЕ</w:t>
      </w:r>
      <w:bookmarkEnd w:id="2"/>
      <w:bookmarkEnd w:id="3"/>
    </w:p>
    <w:p>
      <w:pPr>
        <w:autoSpaceDE w:val="0"/>
        <w:autoSpaceDN w:val="0"/>
        <w:adjustRightInd w:val="0"/>
        <w:spacing w:after="0" w:line="360" w:lineRule="auto"/>
        <w:jc w:val="center"/>
        <w:rPr>
          <w:rFonts w:eastAsia="Times New Roman" w:cs="Times New Roman"/>
          <w:kern w:val="0"/>
          <w:szCs w:val="28"/>
          <w:lang w:eastAsia="zh-CN"/>
          <w14:ligatures w14:val="none"/>
        </w:rPr>
      </w:pPr>
    </w:p>
    <w:p>
      <w:pPr>
        <w:widowControl w:val="0"/>
        <w:autoSpaceDE w:val="0"/>
        <w:autoSpaceDN w:val="0"/>
        <w:spacing w:after="0" w:line="360" w:lineRule="auto"/>
        <w:ind w:right="391" w:firstLine="708" w:firstLineChars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В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век компьютерных технологий написание средств для коммуникации людей является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востребованным и перспективным направлением. Создание мессенджера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является сложной задачей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 требующая глубоких знаний программирования, дизайна, анимации, и других технических и творческих навыков.</w:t>
      </w:r>
    </w:p>
    <w:p>
      <w:pPr>
        <w:widowControl w:val="0"/>
        <w:autoSpaceDE w:val="0"/>
        <w:autoSpaceDN w:val="0"/>
        <w:spacing w:after="0" w:line="360" w:lineRule="auto"/>
        <w:ind w:right="391" w:firstLine="708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Целью данного отчёта по научно-исследовательской работе является освещение процесса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проектирования и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разработки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мессенджера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 рамках дипломного проекта.</w:t>
      </w:r>
    </w:p>
    <w:p>
      <w:pPr>
        <w:widowControl w:val="0"/>
        <w:autoSpaceDE w:val="0"/>
        <w:autoSpaceDN w:val="0"/>
        <w:spacing w:after="0" w:line="360" w:lineRule="auto"/>
        <w:ind w:right="391" w:firstLine="708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В рамках данной работы будет проведён системный анализ предметной области, включающий в себя анализ существующих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мессенджеров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, а также рассмотрение вопросов охраны труда, безопасности жизнедеятельности и гражданской обороны в контексте разработки</w:t>
      </w:r>
      <w:r>
        <w:rPr>
          <w:rFonts w:hint="default" w:eastAsia="Times New Roman" w:cs="Times New Roman"/>
          <w:kern w:val="0"/>
          <w:szCs w:val="28"/>
          <w:lang w:val="en-US" w:eastAsia="ru-RU"/>
          <w14:ligatures w14:val="none"/>
        </w:rPr>
        <w:t xml:space="preserve"> ПО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.</w:t>
      </w:r>
    </w:p>
    <w:p>
      <w:pPr>
        <w:widowControl w:val="0"/>
        <w:autoSpaceDE w:val="0"/>
        <w:autoSpaceDN w:val="0"/>
        <w:spacing w:after="0" w:line="360" w:lineRule="auto"/>
        <w:ind w:right="391" w:firstLine="708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Данное исследование позволит осветить ключевые аспекты разработки мессенджера, а также обеспечить подготовку к реализации дипломного проекта.</w:t>
      </w:r>
    </w:p>
    <w:p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>
      <w:pPr>
        <w:pStyle w:val="14"/>
        <w:numPr>
          <w:ilvl w:val="0"/>
          <w:numId w:val="2"/>
        </w:numPr>
        <w:jc w:val="center"/>
      </w:pPr>
      <w:bookmarkStart w:id="4" w:name="_Toc516220563"/>
      <w:bookmarkStart w:id="5" w:name="_Toc159527853"/>
      <w:r>
        <w:t>СИСТЕМНЫЙ АНАЛИЗ ПРЕДМЕТНОЙ ОБЛАСТ</w:t>
      </w:r>
      <w:bookmarkEnd w:id="4"/>
      <w:r>
        <w:t>И</w:t>
      </w:r>
      <w:bookmarkEnd w:id="5"/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lang w:eastAsia="zh-CN"/>
          <w14:ligatures w14:val="none"/>
        </w:rPr>
      </w:pPr>
    </w:p>
    <w:p>
      <w:pPr>
        <w:pStyle w:val="14"/>
        <w:ind w:firstLine="708"/>
        <w:rPr>
          <w:rFonts w:hint="default"/>
          <w:lang w:val="ru-RU"/>
        </w:rPr>
      </w:pPr>
      <w:bookmarkStart w:id="6" w:name="_Toc159527854"/>
      <w:bookmarkStart w:id="7" w:name="_Toc159446144"/>
      <w:bookmarkStart w:id="8" w:name="_Toc516220564"/>
      <w:r>
        <w:t>1.1 Общая характеристика задачи</w:t>
      </w:r>
      <w:bookmarkEnd w:id="6"/>
      <w:bookmarkEnd w:id="7"/>
      <w:bookmarkEnd w:id="8"/>
    </w:p>
    <w:p>
      <w:pPr>
        <w:autoSpaceDE w:val="0"/>
        <w:autoSpaceDN w:val="0"/>
        <w:adjustRightInd w:val="0"/>
        <w:spacing w:after="0" w:line="360" w:lineRule="auto"/>
        <w:ind w:firstLine="709"/>
        <w:rPr>
          <w:rFonts w:eastAsia="Times New Roman" w:cs="Times New Roman"/>
          <w:kern w:val="0"/>
          <w:szCs w:val="28"/>
          <w:lang w:eastAsia="zh-CN"/>
          <w14:ligatures w14:val="none"/>
        </w:rPr>
      </w:pPr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Цель данного проекта – разработка мессенджера в рамках дипломного проекта. Мессенджер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будет разработана с использованием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Golang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,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Echo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, что позволит продемонстрировать возможности этих инструментов в контексте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  <w:t>создания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веб приложений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.</w:t>
      </w:r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Мессенджер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— это приложение, в которых происходит общение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между пользователями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 [1].  Слово «мессенджер» (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messanger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) происходит от английского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message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— то есть «сообщение». Чат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-мессенджер может помочь коммуницировать людям и знакомиться.</w:t>
      </w:r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Основной акцент в мессенджере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сделан на интерактивности и лаконичный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дизайн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 страниц. </w:t>
      </w:r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Важной частью проекта является разработка пользовательского интерфейса. Задача проекта не только в создании мессенджера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,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 но и в демонстрации ключевых аспектов передачи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сообщений по HTTP и хранение информации в БД PostgreSQL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. </w:t>
      </w:r>
    </w:p>
    <w:p>
      <w:pPr>
        <w:autoSpaceDE w:val="0"/>
        <w:autoSpaceDN w:val="0"/>
        <w:adjustRightInd w:val="0"/>
        <w:spacing w:after="0" w:line="360" w:lineRule="auto"/>
        <w:ind w:firstLine="706"/>
        <w:rPr>
          <w:rFonts w:eastAsia="Times New Roman" w:cs="Times New Roman"/>
          <w:kern w:val="0"/>
          <w:szCs w:val="28"/>
          <w:lang w:eastAsia="zh-CN"/>
          <w14:ligatures w14:val="none"/>
        </w:rPr>
      </w:pPr>
    </w:p>
    <w:p>
      <w:pPr>
        <w:pStyle w:val="14"/>
        <w:ind w:firstLine="708"/>
      </w:pPr>
      <w:bookmarkStart w:id="9" w:name="_Toc516220565"/>
      <w:bookmarkStart w:id="10" w:name="_Toc159446145"/>
      <w:bookmarkStart w:id="11" w:name="_Toc159527855"/>
      <w:r>
        <w:t>1.2 Анализ</w:t>
      </w:r>
      <w:r>
        <w:rPr>
          <w:lang w:val="uk-UA"/>
        </w:rPr>
        <w:t xml:space="preserve"> аналогичных сист</w:t>
      </w:r>
      <w:r>
        <w:t>ем</w:t>
      </w:r>
      <w:bookmarkEnd w:id="9"/>
      <w:bookmarkEnd w:id="10"/>
      <w:bookmarkEnd w:id="11"/>
    </w:p>
    <w:p>
      <w:pPr>
        <w:spacing w:after="0" w:line="360" w:lineRule="auto"/>
        <w:ind w:firstLine="709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1.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WhatsApp (2009)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  <w:t>на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данный момент подразделение Facebook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: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"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WhatsApp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" — это легендарный мессенджер, разработанный Ян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Кумом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 и выпущенный в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2009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году. Эта самый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обычный мессенджер в базовом его понимании.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 [2].</w:t>
      </w:r>
    </w:p>
    <w:p>
      <w:pPr>
        <w:spacing w:after="0" w:line="360" w:lineRule="auto"/>
        <w:ind w:firstLine="708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Мессенджер</w:t>
      </w:r>
      <w:r>
        <w:rPr>
          <w:rFonts w:hint="default" w:eastAsia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 представляет собой мобильное, десктопное приложение для общения между пользователями в записной книжке смартфона. Дизайн приложения создан настолько простым, что с ним разберётся даже не самый продвинутый пользователь интернета.</w:t>
      </w:r>
    </w:p>
    <w:p>
      <w:pPr>
        <w:spacing w:after="0" w:line="360" w:lineRule="auto"/>
        <w:jc w:val="both"/>
      </w:pPr>
      <w:r>
        <w:drawing>
          <wp:inline distT="0" distB="0" distL="114300" distR="114300">
            <wp:extent cx="5938520" cy="3705225"/>
            <wp:effectExtent l="0" t="0" r="508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lang w:eastAsia="ru-RU"/>
        </w:rPr>
      </w:pPr>
    </w:p>
    <w:p>
      <w:pPr>
        <w:spacing w:after="0" w:line="360" w:lineRule="auto"/>
        <w:jc w:val="center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Рисунок 1.1 – Интерфейс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Wha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t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sApp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Чат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предлагает относительно скудный набор инструментов. Разработчики не торопятся добавлять современные функции для своих пользователей. Так ,например, свет не увидели функции самоудаляющихся сообщений.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В свое время "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WhatsApp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" впечатляла тем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, что был похож на приложение «Сообщения» на Android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  <w:t>и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IOS и можно было без оплаты оператору сотовой связи связываться с родственниками и друзьями в понятном интерфейсе.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.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Основатели компании внедрили очень простую и удобную систему регистрации в приложении, только по номеру телефона, без сбора конфиденциальных данных пользователей. Переписка является приватной, никто не сможет ее расшифровать.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Кум и Эктон говорили, что не планировали создавать компанию, а хотели лишь создать продукт, которым будет удобно пользоваться абсолютно каждому человеку. Важно отметить, что основатели WhatsApp были противниками рекламы, их девиз: «Никакой рекламы! Никаких игр! Никаких уловок!». Они считали, что маркетинг пускает пыль в глаза, не давая возможности сфокусироваться на самом продукте. Они не тратили средства на привлечение пользователей, полагаясь на органический рост.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2.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WeChat(2010)  работа исследовательского центра Tencent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: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За каждым великим делом стоит великая личность. В случае с WeChat это программист Аллен Чжан , чье имя на родине при жизни обросло легендами.  Чжан родился в 1969 году, в крестьянской семье. Его с детства тянуло к науке и он, помимо занятий в школе, постоянно учился сам, поглощая книгу за книгой. Это позволило мальчику из глухой деревни поступить в Хуачжунский университет науки и технологий (Ухань) и получить степень магистра телекоммуникационной инженерии в 1994-м году. </w:t>
      </w:r>
    </w:p>
    <w:p>
      <w:pPr>
        <w:spacing w:after="0" w:line="360" w:lineRule="auto"/>
        <w:ind w:firstLine="708" w:firstLineChars="0"/>
        <w:jc w:val="both"/>
        <w:rPr>
          <w:sz w:val="28"/>
          <w:szCs w:val="28"/>
        </w:rPr>
      </w:pPr>
      <w:r>
        <w:t>Изначально над проектом работала команда из семи человек во главе с Чжаном. К ноябрю 2010-го у них был готов прототип, носивший китайское название Weixin. В основном, приложение копировало Kik, мало чем отличалось от</w:t>
      </w:r>
      <w:r>
        <w:rPr>
          <w:sz w:val="28"/>
          <w:szCs w:val="28"/>
        </w:rPr>
        <w:t xml:space="preserve"> конкурентов и было запущено в январе 2011-го без особого шума и рекламы. </w:t>
      </w:r>
    </w:p>
    <w:p>
      <w:pPr>
        <w:spacing w:after="0" w:line="360" w:lineRule="auto"/>
        <w:ind w:firstLine="708" w:firstLineChars="0"/>
        <w:jc w:val="both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В начале 2012-го в мессенджере появилась одна из важнейших составляющих будущей экосистемы – QR-код. Каждый пользователь получал уникальный код и мог, просканировав код на смартфоне другого человека, добавить его в друзья, посмотреть каталог товаров, меню, расписание. Через три месяца (14 после первоначального запуска) количество подписчиков выросло до 100 млн.</w:t>
      </w:r>
    </w:p>
    <w:p>
      <w:pPr>
        <w:spacing w:after="0"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38520" cy="3732530"/>
            <wp:effectExtent l="0" t="0" r="508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both"/>
        <w:rPr>
          <w:lang w:eastAsia="ru-RU"/>
        </w:rPr>
      </w:pPr>
    </w:p>
    <w:p>
      <w:pPr>
        <w:spacing w:after="0" w:line="360" w:lineRule="auto"/>
        <w:jc w:val="center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Рисунок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1.2 – 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Интерфейс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WeChat</w:t>
      </w:r>
    </w:p>
    <w:p>
      <w:pPr>
        <w:spacing w:after="0" w:line="360" w:lineRule="auto"/>
        <w:jc w:val="center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</w:p>
    <w:p>
      <w:pPr>
        <w:spacing w:after="0" w:line="360" w:lineRule="auto"/>
        <w:ind w:firstLine="708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По данным за 2021-й год WeChat активно пользуются 1,2 миллиарда человек ежемесячно, каждый из которых тратит на него в среднем 77 минут в день, а 17% ежедневно проводит в приложении по 4 часа и больше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.</w:t>
      </w:r>
    </w:p>
    <w:p>
      <w:pPr>
        <w:spacing w:after="0" w:line="360" w:lineRule="auto"/>
        <w:ind w:firstLine="708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3. "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Telegram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"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(2013)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  <w:t>Павел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Дуров</w:t>
      </w:r>
      <w:r>
        <w:rPr>
          <w:rFonts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:</w:t>
      </w:r>
    </w:p>
    <w:p>
      <w:pPr>
        <w:spacing w:after="0" w:line="360" w:lineRule="auto"/>
        <w:ind w:firstLine="708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Telegram - это популярный чат-инструмент, доступный на 32 языках. За десять с лишним лет существования Telegram постоянно входит в пятерку самых скачиваемых приложений в мире, а к 2023 году число его пользователей достигнет 800 миллионов в месяц. </w:t>
      </w:r>
    </w:p>
    <w:p>
      <w:pPr>
        <w:spacing w:after="0" w:line="360" w:lineRule="auto"/>
        <w:ind w:firstLine="708" w:firstLineChars="0"/>
        <w:jc w:val="both"/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 xml:space="preserve">Со слов самого Павла Дурова, идея создания мессенджера пришла к нему еще в 2011 году. В тот момент на фоне проблем с правоохранительными органами он осознал, что у него нет безопасного способа коммуникации с близкими. Брат Павла, Николай Дуров, разработал криптографический протокол для шифрования переписки </w:t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fldChar w:fldCharType="begin"/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instrText xml:space="preserve"> HYPERLINK "https://ru.wikipedia.org/wiki/MTProto" \t "https://martrending.ru/smm/_blank" </w:instrText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fldChar w:fldCharType="separate"/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MTProto</w:t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fldChar w:fldCharType="end"/>
      </w:r>
      <w:r>
        <w:rPr>
          <w:rFonts w:eastAsia="Times New Roman" w:cs="Times New Roman"/>
          <w:kern w:val="0"/>
          <w:sz w:val="28"/>
          <w:szCs w:val="28"/>
          <w:lang w:eastAsia="ru-RU"/>
          <w14:ligatures w14:val="none"/>
        </w:rPr>
        <w:t>, который лег в основу Телеграм.</w:t>
      </w:r>
    </w:p>
    <w:p>
      <w:pPr>
        <w:spacing w:after="0" w:line="360" w:lineRule="auto"/>
        <w:jc w:val="center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  <w:r>
        <w:drawing>
          <wp:inline distT="0" distB="0" distL="114300" distR="114300">
            <wp:extent cx="5934710" cy="3504565"/>
            <wp:effectExtent l="0" t="0" r="8890" b="63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 xml:space="preserve">Рисунок 1.3 – Интерфейс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Telegram</w:t>
      </w:r>
    </w:p>
    <w:p>
      <w:pPr>
        <w:spacing w:after="0" w:line="360" w:lineRule="auto"/>
        <w:jc w:val="center"/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</w:pPr>
    </w:p>
    <w:p>
      <w:pPr>
        <w:spacing w:after="0" w:line="360" w:lineRule="auto"/>
        <w:ind w:firstLine="708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Одной из ключевых особенностей "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Telegram</w:t>
      </w:r>
      <w:r>
        <w:rPr>
          <w:rFonts w:eastAsia="Times New Roman" w:cs="Times New Roman"/>
          <w:kern w:val="0"/>
          <w:szCs w:val="28"/>
          <w:shd w:val="clear" w:color="auto" w:fill="FFFFFF"/>
          <w:lang w:eastAsia="ru-RU"/>
          <w14:ligatures w14:val="none"/>
        </w:rPr>
        <w:t>" является защищенность. Разработанный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протокол является безопасным способом передавать сообщений. Это и легло в основу незаконной деятельности внутри мессенджера. 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16 апреля 2018 года на территории России начался процесс ограничения доступа к мессенджеру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>Telegram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. 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Предпосылкой блокировки мессенджера стали поправки в законе , имеющие антитеррористическую направленность. 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Это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не отменяет факта популярности мессенджера на территории СНГ.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Telegram 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ru-RU" w:eastAsia="ru-RU"/>
          <w14:ligatures w14:val="none"/>
        </w:rPr>
        <w:t>является</w:t>
      </w: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t xml:space="preserve"> тем, что представляет собой безопасный мессенджер.</w:t>
      </w:r>
    </w:p>
    <w:p>
      <w:pP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</w:pPr>
      <w:r>
        <w:rPr>
          <w:rFonts w:hint="default" w:eastAsia="Times New Roman" w:cs="Times New Roman"/>
          <w:kern w:val="0"/>
          <w:szCs w:val="28"/>
          <w:shd w:val="clear" w:color="auto" w:fill="FFFFFF"/>
          <w:lang w:val="en-US" w:eastAsia="ru-RU"/>
          <w14:ligatures w14:val="none"/>
        </w:rPr>
        <w:br w:type="page"/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Сравнение основных характеристик аналогов систем по основным функциональным характеристикам представлено в таблице 1.1. 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Таблица 1.1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Анализ функциональных характеристик программных систем</w:t>
      </w:r>
    </w:p>
    <w:tbl>
      <w:tblPr>
        <w:tblStyle w:val="13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9"/>
        <w:gridCol w:w="2352"/>
        <w:gridCol w:w="2663"/>
        <w:gridCol w:w="25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0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Характеристики / Игры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WhatsApp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WeChat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Telegram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Год выпуска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2009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2010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201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Отправка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сообщений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Отправка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голосовых сообщений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4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Поддержка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платформ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Windows, MacOS, Android, iOS, S40, KaiOS, WEB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Windows, MacOS, Android, iOS, S40/J2ME, Windows Phone, Symbian, BlackBerry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Windows, MacOS, Android, iOS, WEB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7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Функция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самоуничтожения сообщений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Доступна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для отдельных диалогов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Нет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Цифровые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звонки и видеозвонки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663" w:type="dxa"/>
            <w:vAlign w:val="bottom"/>
          </w:tcPr>
          <w:p>
            <w:pPr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  <w:tc>
          <w:tcPr>
            <w:tcW w:w="2570" w:type="dxa"/>
            <w:vAlign w:val="bottom"/>
          </w:tcPr>
          <w:p>
            <w:pPr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Защита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сообщений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Присутствует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. Сообщения хранятся у пользователей.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Присутствует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Присутствует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9" w:hRule="atLeast"/>
        </w:trPr>
        <w:tc>
          <w:tcPr>
            <w:tcW w:w="1759" w:type="dxa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Платежная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система</w:t>
            </w:r>
          </w:p>
        </w:tc>
        <w:tc>
          <w:tcPr>
            <w:tcW w:w="2352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Нет</w:t>
            </w:r>
          </w:p>
        </w:tc>
        <w:tc>
          <w:tcPr>
            <w:tcW w:w="2663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. Самая популярная в Китае платежная система.</w:t>
            </w:r>
          </w:p>
        </w:tc>
        <w:tc>
          <w:tcPr>
            <w:tcW w:w="2570" w:type="dxa"/>
            <w:vAlign w:val="bottom"/>
          </w:tcPr>
          <w:p>
            <w:pPr>
              <w:tabs>
                <w:tab w:val="left" w:pos="709"/>
                <w:tab w:val="left" w:pos="1134"/>
              </w:tabs>
              <w:spacing w:after="0" w:line="360" w:lineRule="auto"/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Есть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. Криптовалют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ru-RU" w:eastAsia="ru-RU"/>
                <w14:ligatures w14:val="none"/>
              </w:rPr>
              <w:t>ы</w:t>
            </w:r>
            <w:r>
              <w:rPr>
                <w:rFonts w:hint="default" w:eastAsia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GRAM,TON.</w:t>
            </w:r>
          </w:p>
        </w:tc>
      </w:tr>
    </w:tbl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На основе </w:t>
      </w:r>
      <w:r>
        <w:rPr>
          <w:rFonts w:eastAsia="Times New Roman" w:cs="Times New Roman"/>
          <w:color w:val="000000"/>
          <w:kern w:val="0"/>
          <w:szCs w:val="28"/>
          <w:lang w:val="en-US" w:eastAsia="ru-RU"/>
          <w14:ligatures w14:val="none"/>
        </w:rPr>
        <w:t>проведённого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анализа мессенджеров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следует отметить, что ни один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из них не является идеальным, но у каждого есть свои преимущества, которые выделяют его на фоне других. 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Например, 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>WhatsApp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хоть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и не хранит письма на сервере и в случае утери доступа к устройству теряются и переписки но является безопасным от взлома серверов WhatsApp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. 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>WeChat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несмотря на лучшую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платёжную систему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не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поддерживает базовую на текущее время функцию самоудаляющихся сообщений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. 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>Telegram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хотя и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имеет криптовалютные наработки но не раз попадались на обмане пользователей и привлекались к ответственности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.</w:t>
      </w:r>
    </w:p>
    <w:p>
      <w:pPr>
        <w:pStyle w:val="14"/>
        <w:ind w:firstLine="708"/>
      </w:pPr>
      <w:bookmarkStart w:id="12" w:name="_Toc516220566"/>
      <w:bookmarkStart w:id="13" w:name="_Toc451474060"/>
      <w:bookmarkStart w:id="14" w:name="_Toc159446146"/>
      <w:bookmarkStart w:id="15" w:name="_Toc159527856"/>
      <w:r>
        <w:t>1.3 Постановка цели и задач</w:t>
      </w:r>
      <w:bookmarkEnd w:id="12"/>
      <w:bookmarkEnd w:id="13"/>
      <w:r>
        <w:t xml:space="preserve"> работы</w:t>
      </w:r>
      <w:bookmarkEnd w:id="14"/>
      <w:bookmarkEnd w:id="15"/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>
      <w:pPr>
        <w:tabs>
          <w:tab w:val="left" w:pos="709"/>
          <w:tab w:val="left" w:pos="1134"/>
        </w:tabs>
        <w:spacing w:after="0" w:line="360" w:lineRule="auto"/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 результате проведенного анализа существующих мессенджеров, выявленных недостатков и учтённых требований пользователей к подобным системам, принято решение о создании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чата-мессенджера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для демонстрации основных возможностей при разработке веб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сайтов на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>Golang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</w:t>
      </w:r>
      <w:r>
        <w:rPr>
          <w:rFonts w:hint="default" w:eastAsia="Times New Roman" w:cs="Times New Roman"/>
          <w:color w:val="000000"/>
          <w:kern w:val="0"/>
          <w:szCs w:val="28"/>
          <w:lang w:val="ru-RU" w:eastAsia="ru-RU"/>
          <w14:ligatures w14:val="none"/>
        </w:rPr>
        <w:t>с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использованием базы данных PostrgeSQL.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Цель работы – разработка </w:t>
      </w:r>
      <w:r>
        <w:rPr>
          <w:rFonts w:hint="default" w:eastAsia="Times New Roman" w:cs="Times New Roman"/>
          <w:color w:val="000000"/>
          <w:kern w:val="0"/>
          <w:szCs w:val="28"/>
          <w:lang w:val="ru-RU" w:eastAsia="ru-RU"/>
          <w14:ligatures w14:val="none"/>
        </w:rPr>
        <w:t>веб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приложения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представляющего собой мессенджер, демонстрирующую основные механики при создании веб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сайта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такие как: дизайн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вёрстки, вёрстка веб-сайта, разработка БД, интеграция </w:t>
      </w:r>
      <w:r>
        <w:rPr>
          <w:rFonts w:hint="default" w:eastAsia="Times New Roman" w:cs="Times New Roman"/>
          <w:color w:val="000000"/>
          <w:kern w:val="0"/>
          <w:szCs w:val="28"/>
          <w:lang w:val="ru-RU" w:eastAsia="ru-RU"/>
          <w14:ligatures w14:val="none"/>
        </w:rPr>
        <w:t>бэкэнд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>-составляющей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.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Задачи работы:</w:t>
      </w:r>
    </w:p>
    <w:p>
      <w:pPr>
        <w:numPr>
          <w:ilvl w:val="0"/>
          <w:numId w:val="3"/>
        </w:num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разработка архитектуры системы (определение структуры приложения);</w:t>
      </w:r>
    </w:p>
    <w:p>
      <w:pPr>
        <w:numPr>
          <w:ilvl w:val="0"/>
          <w:numId w:val="3"/>
        </w:num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создание интерфейса пользователя (проектирование простого и интуитивно понятного пользовательского интерфейса, включая страницы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входа и страницы чатов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);</w:t>
      </w:r>
    </w:p>
    <w:p>
      <w:pPr>
        <w:numPr>
          <w:ilvl w:val="0"/>
          <w:numId w:val="3"/>
        </w:num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разработка программных модулей бэкэнд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(реализация механики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обмена сообщениями, хранения сообщений в базе данных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);</w:t>
      </w:r>
    </w:p>
    <w:p>
      <w:pPr>
        <w:numPr>
          <w:ilvl w:val="0"/>
          <w:numId w:val="3"/>
        </w:num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тестирование разработанной системы (проведение тестов, включающих проверку чата</w:t>
      </w:r>
      <w:r>
        <w:rPr>
          <w:rFonts w:hint="default" w:eastAsia="Times New Roman" w:cs="Times New Roman"/>
          <w:color w:val="000000"/>
          <w:kern w:val="0"/>
          <w:szCs w:val="28"/>
          <w:lang w:val="en-US" w:eastAsia="ru-RU"/>
          <w14:ligatures w14:val="none"/>
        </w:rPr>
        <w:t xml:space="preserve"> на работоспособность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, корректность работы интерфейса и обработку сценариев использования);</w:t>
      </w:r>
    </w:p>
    <w:p>
      <w:pPr>
        <w:numPr>
          <w:ilvl w:val="0"/>
          <w:numId w:val="3"/>
        </w:num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формулировка выводов и областей дальнейшего совершенствования системы (анализ результатов, выявление улучшений и возможных направлений доработки системы для повышения ее эффективности и привлекательности);</w:t>
      </w:r>
    </w:p>
    <w:p>
      <w:pPr>
        <w:tabs>
          <w:tab w:val="left" w:pos="709"/>
          <w:tab w:val="left" w:pos="1134"/>
        </w:tabs>
        <w:spacing w:after="0" w:line="360" w:lineRule="auto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</w:r>
    </w:p>
    <w:p>
      <w:pP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 w:type="page"/>
      </w:r>
    </w:p>
    <w:p>
      <w:pPr>
        <w:pStyle w:val="14"/>
        <w:jc w:val="center"/>
        <w:rPr>
          <w:rFonts w:eastAsia="Times New Roman"/>
        </w:rPr>
      </w:pPr>
      <w:bookmarkStart w:id="16" w:name="_Toc159527857"/>
      <w:r>
        <w:rPr>
          <w:rFonts w:eastAsia="Times New Roman"/>
        </w:rPr>
        <w:t>2. ОХРАНА ТРУДА, ВОПРОСЫ БЖД И ГРАЖДАНСКОЙ ОБОРОНЫ</w:t>
      </w:r>
      <w:bookmarkEnd w:id="16"/>
    </w:p>
    <w:p>
      <w:pPr>
        <w:rPr>
          <w:lang w:eastAsia="zh-CN"/>
        </w:rPr>
      </w:pPr>
    </w:p>
    <w:p>
      <w:pPr>
        <w:pStyle w:val="14"/>
        <w:ind w:firstLine="708"/>
        <w:rPr>
          <w:rFonts w:eastAsia="Times New Roman"/>
        </w:rPr>
      </w:pPr>
      <w:bookmarkStart w:id="17" w:name="_Toc159446147"/>
      <w:bookmarkStart w:id="18" w:name="_Toc159527858"/>
      <w:r>
        <w:rPr>
          <w:rFonts w:eastAsia="Times New Roman"/>
        </w:rPr>
        <w:t>2.1 Анализ характеристик и потенциальных опасностей и вредностей в помещении при разработке компьютерной игры</w:t>
      </w:r>
      <w:bookmarkEnd w:id="17"/>
      <w:bookmarkEnd w:id="18"/>
    </w:p>
    <w:p>
      <w:pPr>
        <w:spacing w:line="360" w:lineRule="auto"/>
      </w:pPr>
    </w:p>
    <w:p>
      <w:pPr>
        <w:spacing w:after="0" w:line="360" w:lineRule="auto"/>
        <w:ind w:firstLine="708"/>
      </w:pPr>
      <w:r>
        <w:t xml:space="preserve">Охрана труда является важным фактором любого производства и определяет человека как ключевую ценность. Это связано с тем, что безопасность и здоровье человека делают производственный процесс более определенным и повышают рентабельность самого предприятия. Нет ничего важнее, чем обеспечение защиты человека от угроз его здоровью и жизни. Правильно организованная система охраны труда и здоровья обучает самих работников, что, в свою очередь, повышает производительность труда и его эффективность[5]. </w:t>
      </w:r>
    </w:p>
    <w:p>
      <w:pPr>
        <w:spacing w:after="0" w:line="360" w:lineRule="auto"/>
        <w:ind w:firstLine="708"/>
      </w:pPr>
      <w:r>
        <w:t xml:space="preserve">Данный проект разрабатывается в жилой комнате площадью </w:t>
      </w:r>
      <w:r>
        <w:rPr>
          <w:rFonts w:hint="default"/>
          <w:lang w:val="ru-RU"/>
        </w:rPr>
        <w:t>30</w:t>
      </w:r>
      <w:r>
        <w:t xml:space="preserve"> м2, где </w:t>
      </w:r>
      <w:r>
        <w:rPr>
          <w:lang w:val="ru-RU"/>
        </w:rPr>
        <w:t>размещён</w:t>
      </w:r>
      <w:r>
        <w:t xml:space="preserve"> </w:t>
      </w:r>
      <w:r>
        <w:rPr>
          <w:rFonts w:hint="default"/>
          <w:lang w:val="ru-RU"/>
        </w:rPr>
        <w:t>стационарный ПК</w:t>
      </w:r>
      <w:r>
        <w:t xml:space="preserve">. Естественное освещение хорошее, окна расположены с одной стороны. Данное помещение относится к классу помещений без повышенной опасности. К данному классу относятся помещения с температурой воздуха в диапазоне от +5 до +25°С, относительной влажностью не более 75%, воздушной средой без токопроводящей пыли и деревянными полами, не проводящими ток [6]. </w:t>
      </w:r>
    </w:p>
    <w:p>
      <w:pPr>
        <w:spacing w:after="0" w:line="360" w:lineRule="auto"/>
        <w:ind w:firstLine="708"/>
      </w:pPr>
      <w:r>
        <w:t xml:space="preserve">Физически вредными и опасными факторами при работе на ПК (персональный компьютер) являются: </w:t>
      </w:r>
    </w:p>
    <w:p>
      <w:pPr>
        <w:spacing w:after="0" w:line="360" w:lineRule="auto"/>
        <w:ind w:firstLine="708"/>
      </w:pPr>
      <w:r>
        <w:t xml:space="preserve">– повышенные уровни электромагнитного, рентгеновского, ультрафиолетового и инфракрасного излучения; </w:t>
      </w:r>
    </w:p>
    <w:p>
      <w:pPr>
        <w:spacing w:after="0" w:line="360" w:lineRule="auto"/>
        <w:ind w:firstLine="708"/>
      </w:pPr>
      <w:r>
        <w:t xml:space="preserve">– повышенный уровень статического электричества и запыленности воздуха рабочей зоны; – повышенное содержание положительных аэронов и пониженное содержание отрицательных аэройонов в воздухе рабочей зоны; </w:t>
      </w:r>
    </w:p>
    <w:p>
      <w:pPr>
        <w:spacing w:after="0" w:line="360" w:lineRule="auto"/>
        <w:ind w:firstLine="708"/>
      </w:pPr>
      <w:r>
        <w:t xml:space="preserve">– повышенный уровень блёскости и ослепленности; </w:t>
      </w:r>
    </w:p>
    <w:p>
      <w:pPr>
        <w:spacing w:after="0" w:line="360" w:lineRule="auto"/>
        <w:ind w:firstLine="708"/>
      </w:pPr>
      <w:r>
        <w:t xml:space="preserve">– неравномерность распределения яркости в поле зрения; </w:t>
      </w:r>
    </w:p>
    <w:p>
      <w:pPr>
        <w:spacing w:after="0" w:line="360" w:lineRule="auto"/>
        <w:ind w:firstLine="708"/>
      </w:pPr>
      <w:r>
        <w:t xml:space="preserve">– повышенная яркость светового изображения; </w:t>
      </w:r>
    </w:p>
    <w:p>
      <w:pPr>
        <w:spacing w:after="0" w:line="360" w:lineRule="auto"/>
        <w:ind w:firstLine="708"/>
      </w:pPr>
      <w:r>
        <w:t xml:space="preserve">– повышенное значение напряжения в электрической цепи, замыкание которой может произойти через тело человека. </w:t>
      </w:r>
    </w:p>
    <w:p>
      <w:pPr>
        <w:spacing w:after="0" w:line="360" w:lineRule="auto"/>
        <w:ind w:firstLine="708"/>
      </w:pPr>
      <w:r>
        <w:t xml:space="preserve">К химическим вредным и опасным факторам относят повышенное содержание в воздухе рабочей зоны двуокиси углерода, озона, аммиака, фенола, формальдегида, бифенилы, триметилфосфата и др. </w:t>
      </w:r>
    </w:p>
    <w:p>
      <w:pPr>
        <w:spacing w:after="0" w:line="360" w:lineRule="auto"/>
        <w:ind w:firstLine="708"/>
      </w:pPr>
      <w:r>
        <w:t xml:space="preserve">Психофизиологическими вредными и опасными факторами при выполнении работ на ПК являются: </w:t>
      </w:r>
    </w:p>
    <w:p>
      <w:pPr>
        <w:spacing w:after="0" w:line="360" w:lineRule="auto"/>
        <w:ind w:firstLine="708"/>
      </w:pPr>
      <w:r>
        <w:t xml:space="preserve">– напряжение зрения и внимания; </w:t>
      </w:r>
    </w:p>
    <w:p>
      <w:pPr>
        <w:spacing w:after="0" w:line="360" w:lineRule="auto"/>
        <w:ind w:firstLine="708"/>
      </w:pPr>
      <w:r>
        <w:t xml:space="preserve">– интеллектуальные, эмоциональные и длительные статические нагрузки; </w:t>
      </w:r>
    </w:p>
    <w:p>
      <w:pPr>
        <w:spacing w:after="0" w:line="360" w:lineRule="auto"/>
        <w:ind w:firstLine="708"/>
      </w:pPr>
      <w:r>
        <w:t xml:space="preserve">– монотонность труда; </w:t>
      </w:r>
    </w:p>
    <w:p>
      <w:pPr>
        <w:spacing w:after="0" w:line="360" w:lineRule="auto"/>
        <w:ind w:firstLine="708"/>
      </w:pPr>
      <w:r>
        <w:t xml:space="preserve">– большой объем информации, обрабатываемый в единицу времени; нерациональная организация рабочего места. </w:t>
      </w:r>
    </w:p>
    <w:p>
      <w:pPr>
        <w:spacing w:after="0" w:line="360" w:lineRule="auto"/>
        <w:ind w:firstLine="708"/>
      </w:pPr>
      <w:r>
        <w:t xml:space="preserve">В связи с длительным влиянием вышеперечисленных факторов могут развиться такие тяжелые профессиональные заболевания, как: </w:t>
      </w:r>
    </w:p>
    <w:p>
      <w:pPr>
        <w:spacing w:after="0" w:line="360" w:lineRule="auto"/>
        <w:ind w:firstLine="708"/>
      </w:pPr>
      <w:r>
        <w:t xml:space="preserve">– тендовагинит (воспаление и опухание сухожилий); </w:t>
      </w:r>
    </w:p>
    <w:p>
      <w:pPr>
        <w:spacing w:after="0" w:line="360" w:lineRule="auto"/>
        <w:ind w:firstLine="708"/>
      </w:pPr>
      <w:r>
        <w:t xml:space="preserve">– травматический эпикондилит (теннисный локоть, лучевой бурсит) – раздражение сухожилий, соединяющих предплечья и локтевой сустав; </w:t>
      </w:r>
    </w:p>
    <w:p>
      <w:pPr>
        <w:spacing w:after="0" w:line="360" w:lineRule="auto"/>
        <w:ind w:firstLine="708"/>
      </w:pPr>
      <w:r>
        <w:t xml:space="preserve">– болезнь де Карвена – разновидность тендовагинита, при которой страдают сухожилия, связанные с большим пальцем кисти руки; </w:t>
      </w:r>
    </w:p>
    <w:p>
      <w:pPr>
        <w:spacing w:after="0" w:line="360" w:lineRule="auto"/>
        <w:ind w:firstLine="708"/>
      </w:pPr>
      <w:r>
        <w:t xml:space="preserve">– тендосиновит – воспаление синовиальной оболочки сухожильного основания кисти и запястья; </w:t>
      </w:r>
    </w:p>
    <w:p>
      <w:pPr>
        <w:spacing w:after="0" w:line="360" w:lineRule="auto"/>
        <w:ind w:firstLine="708"/>
      </w:pPr>
      <w:r>
        <w:t xml:space="preserve">– синдром канала запястья – ущемление медиального нерва руки в результате опухания сухожилия или синовиальной оболочки либо повторяющегося изгиба запястья. </w:t>
      </w:r>
    </w:p>
    <w:p>
      <w:pPr>
        <w:spacing w:after="0" w:line="360" w:lineRule="auto"/>
        <w:ind w:firstLine="708"/>
      </w:pPr>
      <w:r>
        <w:t>Заболевания, связанные с ТПН (травмы повторяющихся нагрузок), зачастую появляются в связи с непрерывной работой на неправильно организованном рабочем месте, а при не своевременном решении вопроса 18 эргономики рабочего места могут возникнуть проблемы кроме сегмента верхней конечности до локтя также в плечевой и шейной области.</w:t>
      </w:r>
    </w:p>
    <w:p>
      <w:pPr>
        <w:spacing w:after="0" w:line="360" w:lineRule="auto"/>
        <w:ind w:firstLine="708"/>
      </w:pPr>
    </w:p>
    <w:p>
      <w:pPr>
        <w:pStyle w:val="14"/>
        <w:ind w:firstLine="706"/>
      </w:pPr>
      <w:bookmarkStart w:id="19" w:name="_Toc159446148"/>
      <w:bookmarkStart w:id="20" w:name="_Toc159527859"/>
      <w:r>
        <w:t>2.2 Выбор и обоснование мероприятий для создания нормальных и безопасных условий труда</w:t>
      </w:r>
      <w:bookmarkEnd w:id="19"/>
      <w:bookmarkEnd w:id="20"/>
    </w:p>
    <w:p>
      <w:pPr>
        <w:spacing w:after="0" w:line="360" w:lineRule="auto"/>
      </w:pP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Сегодня для создания приятной рабочей среды используются как организационные, так и технические методы. Организационные методы включают в себя рациональную организацию работы в зависимости от времени года и дней недели, а также установление соответствующих смен между работой и отдыхом.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Рабочее место - это часть пространства, в котором инженеры осуществляют свою трудовую деятельность и проводят большую часть рабочего времени. Рабочее место, хорошо приспособленное к трудовой деятельности инженера и организованное надлежащим образом и быстро с точки зрения площади, формы и размера, обеспечивает инженеру удобное рабочее положение и высокую производительность труда при минимальном физическом и умственном напряжении.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При совместной работе нескольких человек площадь каждого рабочего места должна составлять не менее 6 кв. м, естественное освещение должно регулироваться шторами, а в темное время суток должно быть обеспечено достаточное количество искусственного освещения. Основными элементами рабочего места программиста являются стол и стул. Сидячая рабочая поза минимизирует утомляемость программиста.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Рациональное планирование рабочего пространства обеспечивает четкий порядок и последовательность в расположении предметов, рабочих инструментов и документации. Предметы, необходимые для более частой работы, размещаются в пределах легкой досягаемости от рабочей зоны.Рабочие места следует располагать в отношении источника естественного света (окон) таким образом, чтобы свет падал сбоку, преимущественно слева.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Также рабочее место должно отвечать современным требованиям эргономики. Стол должен иметь высоту поверхности 680 - 800 мм, ширину 600 - 1400 мм и глубину 800 - 1000 мм (такие параметры обеспечивают возможность выполнения операций в зоне досягаемости работника).</w:t>
      </w:r>
    </w:p>
    <w:p>
      <w:pPr>
        <w:spacing w:after="0" w:line="360" w:lineRule="auto"/>
        <w:ind w:firstLine="706"/>
        <w:rPr>
          <w:szCs w:val="28"/>
        </w:rPr>
      </w:pPr>
    </w:p>
    <w:p>
      <w:pPr>
        <w:spacing w:after="0" w:line="360" w:lineRule="auto"/>
        <w:ind w:firstLine="706"/>
        <w:rPr>
          <w:szCs w:val="28"/>
        </w:rPr>
      </w:pPr>
    </w:p>
    <w:p>
      <w:pPr>
        <w:spacing w:after="0" w:line="360" w:lineRule="auto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4676775" cy="2876550"/>
            <wp:effectExtent l="0" t="0" r="9525" b="0"/>
            <wp:docPr id="745201440" name="Рисунок 22" descr="C:\Users\samoh\Desktop\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01440" name="Рисунок 22" descr="C:\Users\samoh\Desktop\image0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2" b="208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2.1 – Оптимальные параметры рабочего места оператора ЭВМ</w:t>
      </w:r>
    </w:p>
    <w:p>
      <w:pPr>
        <w:spacing w:after="0" w:line="360" w:lineRule="auto"/>
        <w:ind w:firstLine="706"/>
        <w:rPr>
          <w:szCs w:val="28"/>
        </w:rPr>
      </w:pP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Рабочий стул рабочий стул должен быть подъемно-поворотным, с возможностью регулировки высоты, желательно со стационарными или переменными подлокотниками и полумягкой нескользкой поверхностью сидения, которое легко чистится и не электризуется.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Экран компьютера должен находиться на оптимальном расстоянии от пользователя, которое составляет 600 - 700 мм, но не меньше 600 мм с учетом буквенно-цифровых знаков и символов [7].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Требования к организации и оборудованию рабочего места, приведённые в ГОСТ 12.2.032</w:t>
      </w:r>
      <w:r>
        <w:rPr>
          <w:rFonts w:hint="eastAsia" w:ascii="MS Mincho" w:hAnsi="MS Mincho" w:eastAsia="MS Mincho" w:cs="MS Mincho"/>
          <w:szCs w:val="28"/>
        </w:rPr>
        <w:t>‑</w:t>
      </w:r>
      <w:r>
        <w:rPr>
          <w:szCs w:val="28"/>
        </w:rPr>
        <w:t>78 изображены схематически на рисунке 2.1.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Для удовлетворения требований физиологии, вытекающих из анализа положения тела человека, в положении сидя, конструкция рабочего сидения должна удовлетворять следующим основным требованиям:</w:t>
      </w:r>
    </w:p>
    <w:p>
      <w:pPr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допускать возможность изменения положения тела, т.е. обеспечивать свободное перемещение корпуса и конечностей тела друг относительно друга;</w:t>
      </w:r>
    </w:p>
    <w:p>
      <w:pPr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допускать регулирование высоты в зависимости от роста работающего человека (в пределах от 400 до 550 мм);</w:t>
      </w:r>
    </w:p>
    <w:p>
      <w:pPr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иметь слегка вогнутую поверхность,</w:t>
      </w:r>
    </w:p>
    <w:p>
      <w:pPr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иметь небольшой наклон назад.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Цветовые тона помещений и мебели должны способствовать созданию приемлемых условий для зрительного восприятия и хорошего настроения. В офисах, где происходит монотонная умственная деятельность, требующая значительного напряжения и внимания, цветовую палитру следует ограничить, то есть использовать холодные зеленые и синие тона с низкой насыщенностью. Освещение, шум и микроклимат должны учитываться при разработке оптимальной рабочей среды для программистов.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 xml:space="preserve">Для поддержания нормативного уровня освещенности в помещениях необходимо не реже двух раз в год мыть окна и светильники и заменять лампы с истекшим сроком годности. </w:t>
      </w:r>
    </w:p>
    <w:p>
      <w:pPr>
        <w:spacing w:after="0" w:line="360" w:lineRule="auto"/>
        <w:ind w:firstLine="706"/>
        <w:rPr>
          <w:szCs w:val="28"/>
        </w:rPr>
      </w:pPr>
      <w:r>
        <w:rPr>
          <w:szCs w:val="28"/>
        </w:rPr>
        <w:t>Основными мерами по борьбе с шумом являются устранение или уменьшение источников шума на стадии проектирования, использование звукопоглощающих устройств и рациональная организация производственных помещений.</w:t>
      </w:r>
    </w:p>
    <w:p>
      <w:pPr>
        <w:pStyle w:val="14"/>
        <w:ind w:firstLine="706"/>
      </w:pPr>
      <w:bookmarkStart w:id="21" w:name="_Toc159446149"/>
      <w:bookmarkStart w:id="22" w:name="_Toc516220595"/>
      <w:bookmarkStart w:id="23" w:name="_Toc159527860"/>
      <w:r>
        <w:t>2.2.1 Расчет освещенности помещения</w:t>
      </w:r>
      <w:bookmarkEnd w:id="21"/>
      <w:bookmarkEnd w:id="22"/>
      <w:bookmarkEnd w:id="23"/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Рассчитать систему общего равномерного осветления с лампами накаливания для помещения. Размер помещения: длина </w:t>
      </w:r>
      <w:r>
        <w:rPr>
          <w:szCs w:val="28"/>
          <w:lang w:val="en-US"/>
        </w:rPr>
        <w:t>a</w:t>
      </w:r>
      <w:r>
        <w:rPr>
          <w:szCs w:val="28"/>
        </w:rPr>
        <w:t xml:space="preserve"> = 12 л/, ширина </w:t>
      </w:r>
      <w:r>
        <w:rPr>
          <w:szCs w:val="28"/>
          <w:lang w:val="en-US"/>
        </w:rPr>
        <w:t>b</w:t>
      </w:r>
      <w:r>
        <w:rPr>
          <w:szCs w:val="28"/>
        </w:rPr>
        <w:t xml:space="preserve"> = 5 м, высота </w:t>
      </w:r>
      <w:r>
        <w:rPr>
          <w:szCs w:val="28"/>
          <w:lang w:val="en-US"/>
        </w:rPr>
        <w:t>H</w:t>
      </w:r>
      <w:r>
        <w:rPr>
          <w:szCs w:val="28"/>
        </w:rPr>
        <w:t xml:space="preserve"> = 3,2 м. Помещение имеет светлую окраску: коэффициент отражения ρ</w:t>
      </w:r>
      <w:r>
        <w:rPr>
          <w:szCs w:val="28"/>
          <w:vertAlign w:val="subscript"/>
        </w:rPr>
        <w:t>потолка</w:t>
      </w:r>
      <w:r>
        <w:rPr>
          <w:szCs w:val="28"/>
        </w:rPr>
        <w:t xml:space="preserve"> = 70%, ρ</w:t>
      </w:r>
      <w:r>
        <w:rPr>
          <w:szCs w:val="28"/>
          <w:vertAlign w:val="subscript"/>
        </w:rPr>
        <w:t>стен</w:t>
      </w:r>
      <w:r>
        <w:rPr>
          <w:szCs w:val="28"/>
        </w:rPr>
        <w:t xml:space="preserve"> = 50%. Высота рабочих поверхностей </w:t>
      </w:r>
      <w:r>
        <w:rPr>
          <w:szCs w:val="28"/>
          <w:lang w:val="en-US"/>
        </w:rPr>
        <w:t>h</w:t>
      </w:r>
      <w:r>
        <w:rPr>
          <w:szCs w:val="28"/>
          <w:vertAlign w:val="subscript"/>
        </w:rPr>
        <w:t>ρ</w:t>
      </w:r>
      <w:r>
        <w:rPr>
          <w:szCs w:val="28"/>
        </w:rPr>
        <w:t xml:space="preserve"> = 0,7 м. Для осветления используют светильники типу УПМ-15; расстояние от светильника до потолка = 0,5 м. Минимальное осветление Е = 200 лк. 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Определяем высоту подвеса светильника над полом </w:t>
      </w:r>
      <w:r>
        <w:rPr>
          <w:szCs w:val="28"/>
          <w:lang w:val="en-US"/>
        </w:rPr>
        <w:t>h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= Н – </w:t>
      </w:r>
      <w:r>
        <w:rPr>
          <w:szCs w:val="28"/>
          <w:lang w:val="en-US"/>
        </w:rPr>
        <w:t>h</w:t>
      </w:r>
      <w:r>
        <w:rPr>
          <w:szCs w:val="28"/>
          <w:vertAlign w:val="subscript"/>
          <w:lang w:val="en-US"/>
        </w:rPr>
        <w:t>c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3,2 — 0,5 = 2,7 м. Для светильников общего осветления с лампами разреживания мощностью до 400 Вт минимальная высота подвеса над полом должна быть  2,5— 4,0 м. Высота подвеса светильника над рабочей поверхностью:</w:t>
      </w:r>
    </w:p>
    <w:p>
      <w:pPr>
        <w:tabs>
          <w:tab w:val="left" w:pos="0"/>
        </w:tabs>
        <w:spacing w:after="0" w:line="360" w:lineRule="auto"/>
        <w:jc w:val="center"/>
        <w:rPr>
          <w:szCs w:val="28"/>
        </w:rPr>
      </w:pPr>
      <w:r>
        <w:rPr>
          <w:szCs w:val="28"/>
          <w:lang w:val="en-US"/>
        </w:rPr>
        <w:t>h</w:t>
      </w:r>
      <w:r>
        <w:rPr>
          <w:szCs w:val="28"/>
        </w:rPr>
        <w:t xml:space="preserve"> = </w:t>
      </w:r>
      <w:r>
        <w:rPr>
          <w:szCs w:val="28"/>
          <w:lang w:val="en-US"/>
        </w:rPr>
        <w:t>h</w:t>
      </w:r>
      <w:r>
        <w:rPr>
          <w:szCs w:val="28"/>
          <w:vertAlign w:val="subscript"/>
        </w:rPr>
        <w:t xml:space="preserve">0 </w:t>
      </w:r>
      <w:r>
        <w:rPr>
          <w:szCs w:val="28"/>
        </w:rPr>
        <w:t xml:space="preserve">- </w:t>
      </w:r>
      <w:r>
        <w:rPr>
          <w:szCs w:val="28"/>
          <w:lang w:val="en-US"/>
        </w:rPr>
        <w:t>h</w:t>
      </w:r>
      <w:r>
        <w:rPr>
          <w:szCs w:val="28"/>
          <w:vertAlign w:val="subscript"/>
        </w:rPr>
        <w:t>ρ</w:t>
      </w:r>
      <w:r>
        <w:rPr>
          <w:szCs w:val="28"/>
        </w:rPr>
        <w:t xml:space="preserve"> = 2,7 — 0,7 = 2,0 м.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Равномерность осветления достигается при расстоянии между светильниками І и высотой подвеса </w:t>
      </w:r>
      <w:r>
        <w:rPr>
          <w:szCs w:val="28"/>
          <w:lang w:val="en-US"/>
        </w:rPr>
        <w:t>h</w:t>
      </w:r>
      <w:r>
        <w:rPr>
          <w:szCs w:val="28"/>
        </w:rPr>
        <w:t>. Означаемо рекомендованное расстояния между светильниками:</w:t>
      </w:r>
    </w:p>
    <w:p>
      <w:pPr>
        <w:tabs>
          <w:tab w:val="left" w:pos="0"/>
        </w:tabs>
        <w:spacing w:after="0" w:line="360" w:lineRule="auto"/>
        <w:jc w:val="center"/>
        <w:rPr>
          <w:szCs w:val="28"/>
        </w:rPr>
      </w:pPr>
      <w:r>
        <w:rPr>
          <w:szCs w:val="28"/>
          <w:lang w:val="en-US"/>
        </w:rPr>
        <w:t>L</w:t>
      </w:r>
      <w:r>
        <w:rPr>
          <w:szCs w:val="28"/>
        </w:rPr>
        <w:t xml:space="preserve"> = 0,7*</w:t>
      </w:r>
      <w:r>
        <w:rPr>
          <w:szCs w:val="28"/>
          <w:lang w:val="en-US"/>
        </w:rPr>
        <w:t>h</w:t>
      </w:r>
      <w:r>
        <w:rPr>
          <w:szCs w:val="28"/>
        </w:rPr>
        <w:t xml:space="preserve"> = 0,7*2 = 1,4 м.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Необходимое количество светильников составляет: </w:t>
      </w:r>
    </w:p>
    <w:p>
      <w:pPr>
        <w:tabs>
          <w:tab w:val="left" w:pos="0"/>
        </w:tabs>
        <w:spacing w:after="0" w:line="360" w:lineRule="auto"/>
        <w:jc w:val="center"/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>=(</w:t>
      </w:r>
      <w:r>
        <w:rPr>
          <w:szCs w:val="28"/>
          <w:lang w:val="en-US"/>
        </w:rPr>
        <w:t>a</w:t>
      </w:r>
      <w:r>
        <w:rPr>
          <w:szCs w:val="28"/>
        </w:rPr>
        <w:t>*</w:t>
      </w:r>
      <w:r>
        <w:rPr>
          <w:szCs w:val="28"/>
          <w:lang w:val="en-US"/>
        </w:rPr>
        <w:t>b</w:t>
      </w:r>
      <w:r>
        <w:rPr>
          <w:szCs w:val="28"/>
        </w:rPr>
        <w:t>)/</w:t>
      </w:r>
      <w:r>
        <w:rPr>
          <w:szCs w:val="28"/>
          <w:lang w:val="en-US"/>
        </w:rPr>
        <w:t>L</w:t>
      </w:r>
      <w:r>
        <w:rPr>
          <w:szCs w:val="28"/>
          <w:vertAlign w:val="superscript"/>
        </w:rPr>
        <w:t>2</w:t>
      </w:r>
      <w:r>
        <w:rPr>
          <w:szCs w:val="28"/>
        </w:rPr>
        <w:t>=(12*5)/1,4</w:t>
      </w:r>
      <w:r>
        <w:rPr>
          <w:szCs w:val="28"/>
          <w:vertAlign w:val="superscript"/>
        </w:rPr>
        <w:t>2</w:t>
      </w:r>
      <w:r>
        <w:rPr>
          <w:szCs w:val="28"/>
        </w:rPr>
        <w:t>=15,3.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Принимаем 14 светильников, учитывая размеры помещения, размещаем в два ряда по 7 штук. Показатель помещения </w:t>
      </w:r>
      <w:r>
        <w:rPr>
          <w:szCs w:val="28"/>
          <w:lang w:val="en-US"/>
        </w:rPr>
        <w:t>i</w:t>
      </w:r>
      <w:r>
        <w:rPr>
          <w:szCs w:val="28"/>
        </w:rPr>
        <w:t xml:space="preserve"> становится: </w:t>
      </w:r>
    </w:p>
    <w:p>
      <w:pPr>
        <w:tabs>
          <w:tab w:val="left" w:pos="0"/>
        </w:tabs>
        <w:spacing w:after="0" w:line="360" w:lineRule="auto"/>
        <w:jc w:val="center"/>
        <w:rPr>
          <w:szCs w:val="28"/>
        </w:rPr>
      </w:pPr>
      <w:r>
        <w:rPr>
          <w:szCs w:val="28"/>
          <w:lang w:val="en-US"/>
        </w:rPr>
        <w:t>i</w:t>
      </w:r>
      <w:r>
        <w:rPr>
          <w:szCs w:val="28"/>
        </w:rPr>
        <w:t xml:space="preserve">  = (</w:t>
      </w:r>
      <w:r>
        <w:rPr>
          <w:szCs w:val="28"/>
          <w:lang w:val="en-US"/>
        </w:rPr>
        <w:t>a</w:t>
      </w:r>
      <w:r>
        <w:rPr>
          <w:szCs w:val="28"/>
        </w:rPr>
        <w:t>*</w:t>
      </w:r>
      <w:r>
        <w:rPr>
          <w:szCs w:val="28"/>
          <w:lang w:val="en-US"/>
        </w:rPr>
        <w:t>b</w:t>
      </w:r>
      <w:r>
        <w:rPr>
          <w:szCs w:val="28"/>
        </w:rPr>
        <w:t>)/</w:t>
      </w:r>
      <w:r>
        <w:rPr>
          <w:szCs w:val="28"/>
          <w:lang w:val="en-US"/>
        </w:rPr>
        <w:t>h</w:t>
      </w:r>
      <w:r>
        <w:rPr>
          <w:szCs w:val="28"/>
        </w:rPr>
        <w:t>*(</w:t>
      </w:r>
      <w:r>
        <w:rPr>
          <w:szCs w:val="28"/>
          <w:lang w:val="en-US"/>
        </w:rPr>
        <w:t>a</w:t>
      </w:r>
      <w:r>
        <w:rPr>
          <w:szCs w:val="28"/>
        </w:rPr>
        <w:t>+</w:t>
      </w:r>
      <w:r>
        <w:rPr>
          <w:szCs w:val="28"/>
          <w:lang w:val="en-US"/>
        </w:rPr>
        <w:t>b</w:t>
      </w:r>
      <w:r>
        <w:rPr>
          <w:szCs w:val="28"/>
        </w:rPr>
        <w:t>) = (12*5)/2*(12+5)=1,76.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По таблицам находим коэффициент, используем η=0,58 для светильника УПМ-15 при </w:t>
      </w:r>
      <w:r>
        <w:rPr>
          <w:szCs w:val="28"/>
          <w:lang w:val="en-US"/>
        </w:rPr>
        <w:t>i</w:t>
      </w:r>
      <w:r>
        <w:rPr>
          <w:szCs w:val="28"/>
        </w:rPr>
        <w:t xml:space="preserve"> = 1,75, ρ</w:t>
      </w:r>
      <w:r>
        <w:rPr>
          <w:szCs w:val="28"/>
          <w:vertAlign w:val="subscript"/>
        </w:rPr>
        <w:t xml:space="preserve">потолок </w:t>
      </w:r>
      <w:r>
        <w:rPr>
          <w:szCs w:val="28"/>
        </w:rPr>
        <w:t xml:space="preserve">= 70% , ρстен = 50% . 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Световые потоки светильника, а значит и лампа вычисляется по формуле: </w:t>
      </w:r>
    </w:p>
    <w:p>
      <w:pPr>
        <w:tabs>
          <w:tab w:val="left" w:pos="0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>Ф</w:t>
      </w:r>
      <w:r>
        <w:rPr>
          <w:szCs w:val="28"/>
          <w:vertAlign w:val="subscript"/>
        </w:rPr>
        <w:t>Л</w:t>
      </w:r>
      <w:r>
        <w:rPr>
          <w:szCs w:val="28"/>
        </w:rPr>
        <w:t xml:space="preserve"> = (</w:t>
      </w:r>
      <w:r>
        <w:rPr>
          <w:szCs w:val="28"/>
          <w:lang w:val="en-US"/>
        </w:rPr>
        <w:t>ESK</w:t>
      </w:r>
      <w:r>
        <w:rPr>
          <w:szCs w:val="28"/>
          <w:vertAlign w:val="subscript"/>
        </w:rPr>
        <w:t>3</w:t>
      </w:r>
      <w:r>
        <w:rPr>
          <w:szCs w:val="28"/>
          <w:lang w:val="en-US"/>
        </w:rPr>
        <w:t>Z</w:t>
      </w:r>
      <w:r>
        <w:rPr>
          <w:szCs w:val="28"/>
        </w:rPr>
        <w:t>)/</w:t>
      </w:r>
      <w:r>
        <w:rPr>
          <w:szCs w:val="28"/>
          <w:lang w:val="en-US"/>
        </w:rPr>
        <w:t>Nη</w:t>
      </w:r>
      <w:r>
        <w:rPr>
          <w:szCs w:val="28"/>
        </w:rPr>
        <w:t xml:space="preserve"> = (400*60*1,3*1,15)/(14*0,58) = 2418 лм.</w:t>
      </w:r>
    </w:p>
    <w:p>
      <w:pPr>
        <w:tabs>
          <w:tab w:val="left" w:pos="0"/>
        </w:tabs>
        <w:spacing w:after="0" w:line="36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По таблице выбираем лампу Б-230 мощностью 150 Вт, световой поток которой составляет 2160 лм. Суммарная электрическая мощность всех светильников, установленных в помещении: </w:t>
      </w: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  <w:r>
        <w:rPr>
          <w:szCs w:val="28"/>
        </w:rPr>
        <w:t>ΣР</w:t>
      </w:r>
      <w:r>
        <w:rPr>
          <w:szCs w:val="28"/>
          <w:vertAlign w:val="subscript"/>
        </w:rPr>
        <w:t>св</w:t>
      </w:r>
      <w:r>
        <w:rPr>
          <w:szCs w:val="28"/>
        </w:rPr>
        <w:t>= Рсв*</w:t>
      </w:r>
      <w:r>
        <w:rPr>
          <w:szCs w:val="28"/>
          <w:lang w:val="en-US"/>
        </w:rPr>
        <w:t>N</w:t>
      </w:r>
      <w:r>
        <w:rPr>
          <w:szCs w:val="28"/>
        </w:rPr>
        <w:t>=150*14 = 2100 Вт.</w:t>
      </w:r>
    </w:p>
    <w:p>
      <w:pPr>
        <w:tabs>
          <w:tab w:val="left" w:pos="0"/>
        </w:tabs>
        <w:spacing w:line="360" w:lineRule="auto"/>
        <w:rPr>
          <w:szCs w:val="28"/>
        </w:rPr>
      </w:pP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3305175" cy="2657475"/>
            <wp:effectExtent l="0" t="0" r="9525" b="9525"/>
            <wp:docPr id="10043791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9137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  <w:r>
        <w:rPr>
          <w:szCs w:val="28"/>
        </w:rPr>
        <w:t>Рисунок 2.2 – Схема определения высоты подвеса светильника</w:t>
      </w: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676900" cy="2343150"/>
            <wp:effectExtent l="0" t="0" r="0" b="0"/>
            <wp:docPr id="151013180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180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jc w:val="center"/>
        <w:rPr>
          <w:szCs w:val="28"/>
        </w:rPr>
      </w:pPr>
      <w:r>
        <w:rPr>
          <w:szCs w:val="28"/>
        </w:rPr>
        <w:t>Рисунок 2.3 – Схема размещения светильника у помещения</w:t>
      </w:r>
    </w:p>
    <w:p>
      <w:pPr>
        <w:spacing w:after="0" w:line="360" w:lineRule="auto"/>
      </w:pPr>
    </w:p>
    <w:p>
      <w:pPr>
        <w:pStyle w:val="14"/>
        <w:ind w:firstLine="708"/>
      </w:pPr>
      <w:bookmarkStart w:id="24" w:name="_Toc159527861"/>
      <w:bookmarkStart w:id="25" w:name="_Toc159446150"/>
      <w:r>
        <w:t>2.3 Обеспечение пожарной безопасности</w:t>
      </w:r>
      <w:bookmarkEnd w:id="24"/>
      <w:bookmarkEnd w:id="25"/>
    </w:p>
    <w:p>
      <w:pPr>
        <w:rPr>
          <w:lang w:eastAsia="zh-CN"/>
        </w:rPr>
      </w:pPr>
    </w:p>
    <w:p>
      <w:pPr>
        <w:spacing w:after="0" w:line="360" w:lineRule="auto"/>
        <w:ind w:firstLine="708"/>
      </w:pPr>
      <w:r>
        <w:t xml:space="preserve">Здание, в котором находится рабочий кабинет, по пожарной опасности строительных конструкций относится к категории В, потому что содержит много воспламеняющих предметов (книги, документы, мебель, оргтехника и т.п) а к тому же есть тяжело-воспламеняющиеся вещества – различное бытовое оборудование, что при взаимодействии с огнем может гореть без взрыва [8]. </w:t>
      </w:r>
    </w:p>
    <w:p>
      <w:pPr>
        <w:spacing w:after="0" w:line="360" w:lineRule="auto"/>
        <w:ind w:firstLine="708"/>
      </w:pPr>
      <w:r>
        <w:t xml:space="preserve">Здание с рабочим помещением для разработки компьютерной игры по конструктивным характеристикам можно отнести к зданиям с несущими и ограждающими конструкциями из естественных или искусственных каменных материалов, бетона или железобетона, где для перекрытий допускается использование деревянных конструкций, защищенных штукатуркой или тяжело-воспламеняющимися листовыми, а также плитными материалами. </w:t>
      </w:r>
    </w:p>
    <w:p>
      <w:pPr>
        <w:spacing w:after="0" w:line="360" w:lineRule="auto"/>
        <w:ind w:firstLine="708"/>
      </w:pPr>
      <w:r>
        <w:t xml:space="preserve">Причинами возникновения пожара в здании могут стать: </w:t>
      </w:r>
    </w:p>
    <w:p>
      <w:pPr>
        <w:spacing w:after="0" w:line="360" w:lineRule="auto"/>
        <w:ind w:firstLine="708"/>
      </w:pPr>
      <w:r>
        <w:t xml:space="preserve">1) неисправности электропроводки, розеток и выключателей, которые могут привести к короткому замыканию или пробоя изоляции; </w:t>
      </w:r>
    </w:p>
    <w:p>
      <w:pPr>
        <w:spacing w:after="0" w:line="360" w:lineRule="auto"/>
        <w:ind w:firstLine="708"/>
      </w:pPr>
      <w:r>
        <w:t xml:space="preserve">2) использование поврежденных (неисправных) электроприборов; </w:t>
      </w:r>
    </w:p>
    <w:p>
      <w:pPr>
        <w:spacing w:after="0" w:line="360" w:lineRule="auto"/>
        <w:ind w:firstLine="708"/>
      </w:pPr>
      <w:r>
        <w:t xml:space="preserve">3) возникновение пожара в результате попадания молнии в дом. </w:t>
      </w:r>
    </w:p>
    <w:p>
      <w:pPr>
        <w:spacing w:after="0" w:line="360" w:lineRule="auto"/>
        <w:ind w:firstLine="708"/>
      </w:pPr>
      <w:r>
        <w:t xml:space="preserve">Из средств пожаротушения в помещении есть углекислотный огнетушитель, а помещение оборудовано пожарной сигнализацией. При возникновении пожара эвакуация происходит в соответствии с утвержденным планом эвакуации. </w:t>
      </w:r>
    </w:p>
    <w:p>
      <w:pPr>
        <w:spacing w:after="0" w:line="360" w:lineRule="auto"/>
        <w:ind w:firstLine="708"/>
      </w:pPr>
      <w:r>
        <w:t>Первичные средства пожаротушения используются для тушения небольших пожаров или для того, чтобы персонал предприятия мог потушить пожар на начальной стадии до прибытия штатной пожарной бригады. К первичным средствам пожаротушения относятся огнетушители, пожарный инвентарь (например, бочки с водой, пожарные ведра, ящики с песком, лопаты, одеяла из негорючей изоляционной ткани) и средства противопожарной защиты (например, крюки, ломы, топоры). Решение о типе и количестве огнетушителей должно приниматься с учетом физико-химических и пожароопасных характеристик горючих материалов, площади и категории производственных помещений по взрывопожарной и пожарной опасности, а также классов пожаров, которые могут возникнуть. Анализ состояния пожарной безопасности показывает, что на предприятии действуют адекватные меры, обеспечивающие выполнение требований нормативных документов.</w:t>
      </w:r>
    </w:p>
    <w:p>
      <w:pPr>
        <w:pStyle w:val="14"/>
        <w:ind w:firstLine="708"/>
      </w:pPr>
      <w:bookmarkStart w:id="26" w:name="_Toc159527862"/>
      <w:bookmarkStart w:id="27" w:name="_Toc159446151"/>
      <w:r>
        <w:t>2.4 Вопросы гражданской обороны</w:t>
      </w:r>
      <w:bookmarkEnd w:id="26"/>
      <w:bookmarkEnd w:id="27"/>
      <w:r>
        <w:t xml:space="preserve"> </w:t>
      </w:r>
    </w:p>
    <w:p>
      <w:pPr>
        <w:spacing w:after="0" w:line="360" w:lineRule="auto"/>
        <w:ind w:firstLine="708"/>
      </w:pPr>
    </w:p>
    <w:p>
      <w:pPr>
        <w:spacing w:after="0" w:line="360" w:lineRule="auto"/>
        <w:ind w:firstLine="708"/>
      </w:pPr>
      <w:r>
        <w:t xml:space="preserve">Система гражданской обороны включает в себя меры по защите населения и объектов от различных опасностей и чрезвычайных ситуаций, в том числе военных конфликтов, природных и техногенных катастроф. </w:t>
      </w:r>
    </w:p>
    <w:p>
      <w:pPr>
        <w:spacing w:after="0" w:line="360" w:lineRule="auto"/>
        <w:ind w:firstLine="708"/>
      </w:pPr>
      <w:r>
        <w:t xml:space="preserve">Организация обучения и подготовки населения в системе ГО включает в себя следующие меры: </w:t>
      </w:r>
    </w:p>
    <w:p>
      <w:pPr>
        <w:spacing w:after="0" w:line="360" w:lineRule="auto"/>
        <w:ind w:firstLine="708"/>
      </w:pPr>
      <w:r>
        <w:t xml:space="preserve">1. Разработка и утверждение аварийно-эвакуационных планов на предприятиях, в организациях и в жилых домах. </w:t>
      </w:r>
    </w:p>
    <w:p>
      <w:pPr>
        <w:spacing w:after="0" w:line="360" w:lineRule="auto"/>
        <w:ind w:firstLine="708"/>
      </w:pPr>
      <w:r>
        <w:t xml:space="preserve">2. Проведение тренировочных учений по эвакуации и действиям в чрезвычайных ситуациях в подразделениях ГО и населении. </w:t>
      </w:r>
    </w:p>
    <w:p>
      <w:pPr>
        <w:spacing w:after="0" w:line="360" w:lineRule="auto"/>
        <w:ind w:firstLine="708"/>
      </w:pPr>
      <w:r>
        <w:t xml:space="preserve">3. Распространение информации о правилах безопасности и о действиях в случае происшествий в СМИ, через информационные листки и рекламные материалы. </w:t>
      </w:r>
    </w:p>
    <w:p>
      <w:pPr>
        <w:spacing w:after="0" w:line="360" w:lineRule="auto"/>
        <w:ind w:firstLine="708"/>
      </w:pPr>
      <w:r>
        <w:t xml:space="preserve">4. Создание и развитие системы оповещения населения о чрезвычайных ситуациях, включая установку автоматических систем оповещения сиренами и громкоговорителями. </w:t>
      </w:r>
    </w:p>
    <w:p>
      <w:pPr>
        <w:spacing w:after="0" w:line="360" w:lineRule="auto"/>
        <w:ind w:firstLine="708"/>
      </w:pPr>
      <w:r>
        <w:t xml:space="preserve">5. Организация работы системы гражданской обороны в регионах России. </w:t>
      </w:r>
    </w:p>
    <w:p>
      <w:pPr>
        <w:spacing w:after="0" w:line="360" w:lineRule="auto"/>
        <w:ind w:firstLine="708"/>
      </w:pPr>
      <w:r>
        <w:t xml:space="preserve">6. Развитие научных и методических основ системы гражданской обороны. </w:t>
      </w:r>
    </w:p>
    <w:p>
      <w:pPr>
        <w:spacing w:after="0" w:line="360" w:lineRule="auto"/>
        <w:ind w:firstLine="708"/>
      </w:pPr>
      <w:r>
        <w:t xml:space="preserve">Обучение и подготовка населения в системе ГО является необходимой мерой для обеспечения безопасности граждан и сохранения материальных и культурных ценностей в период возможных угроз и опасностей. </w:t>
      </w:r>
    </w:p>
    <w:p>
      <w:pPr>
        <w:spacing w:after="0" w:line="360" w:lineRule="auto"/>
        <w:ind w:firstLine="708"/>
      </w:pPr>
      <w:r>
        <w:t xml:space="preserve">Система подготовки населения по гражданской обороне строится на основе пяти основных принципов: </w:t>
      </w:r>
    </w:p>
    <w:p>
      <w:pPr>
        <w:spacing w:after="0" w:line="360" w:lineRule="auto"/>
        <w:ind w:firstLine="708"/>
      </w:pPr>
      <w:r>
        <w:t xml:space="preserve">1. Распространение информации. </w:t>
      </w:r>
    </w:p>
    <w:p>
      <w:pPr>
        <w:spacing w:after="0" w:line="360" w:lineRule="auto"/>
        <w:ind w:firstLine="708"/>
      </w:pPr>
      <w:r>
        <w:t xml:space="preserve">2. Организация и проведение тренировок </w:t>
      </w:r>
    </w:p>
    <w:p>
      <w:pPr>
        <w:spacing w:after="0" w:line="360" w:lineRule="auto"/>
        <w:ind w:firstLine="708"/>
      </w:pPr>
      <w:r>
        <w:t xml:space="preserve">3. Развитие средств защиты. </w:t>
      </w:r>
    </w:p>
    <w:p>
      <w:pPr>
        <w:spacing w:after="0" w:line="360" w:lineRule="auto"/>
        <w:ind w:firstLine="708"/>
      </w:pPr>
      <w:r>
        <w:t xml:space="preserve">4. Создание и подразделений гражданской обороны. </w:t>
      </w:r>
    </w:p>
    <w:p>
      <w:pPr>
        <w:spacing w:after="0" w:line="360" w:lineRule="auto"/>
        <w:ind w:firstLine="708"/>
      </w:pPr>
      <w:r>
        <w:t xml:space="preserve">5. Вовлечение населения в работу по гражданской обороне [9]. </w:t>
      </w:r>
    </w:p>
    <w:p>
      <w:pPr>
        <w:spacing w:after="0" w:line="360" w:lineRule="auto"/>
        <w:ind w:firstLine="708"/>
      </w:pPr>
      <w:r>
        <w:t xml:space="preserve">Функционирование системы подготовки по гражданской обороне включает следующие этапы: </w:t>
      </w:r>
    </w:p>
    <w:p>
      <w:pPr>
        <w:spacing w:after="0" w:line="360" w:lineRule="auto"/>
        <w:ind w:firstLine="708"/>
      </w:pPr>
      <w:r>
        <w:t xml:space="preserve">1. Планирование готовности. На этом этапе определяются задачи, цели, ресурсы и средства, необходимые для подготовки населения к действиям в чрезвычайных ситуациях. </w:t>
      </w:r>
    </w:p>
    <w:p>
      <w:pPr>
        <w:spacing w:after="0" w:line="360" w:lineRule="auto"/>
        <w:ind w:firstLine="708"/>
      </w:pPr>
      <w:r>
        <w:t xml:space="preserve">2. Обучение и тренировка. На этом этапе проводятся учебные занятия, тренировки и семинары, которые направлены на повышение квалификации специалистов, а также на обучение населения правилам поведения и действиям в чрезвычайных ситуациях. </w:t>
      </w:r>
    </w:p>
    <w:p>
      <w:pPr>
        <w:spacing w:after="0" w:line="360" w:lineRule="auto"/>
        <w:ind w:firstLine="708"/>
      </w:pPr>
      <w:r>
        <w:t xml:space="preserve">3. Организация контроля готовности. Для того чтобы быть готовым к действиям в случае угрозы, необходимо проводить регулярный контроль готовности, анализировать результаты тренировок, определять уровень знаний и умений населения. </w:t>
      </w:r>
    </w:p>
    <w:p>
      <w:pPr>
        <w:spacing w:after="0" w:line="360" w:lineRule="auto"/>
        <w:ind w:firstLine="708"/>
      </w:pPr>
      <w:r>
        <w:t xml:space="preserve">4. Развитие устойчивости гражданской обороны. Выполнение данного этапа позволяет повысить устойчивость системы гражданской обороны к чрезвычайным ситуациям. На этом этапе проводятся работы по улучшению инфраструктуры, расширению сети организаций гражданской обороны, созданию запасов средств индивидуальной защиты. </w:t>
      </w:r>
    </w:p>
    <w:p>
      <w:pPr>
        <w:spacing w:after="0" w:line="360" w:lineRule="auto"/>
        <w:ind w:firstLine="708"/>
      </w:pPr>
      <w:r>
        <w:t xml:space="preserve">5. Работа по повышению информационной безопасности. Реализация данного этапа направлена на защиту информации, формирование готовности граждан к действию в условиях информационной угрозы, а также на организацию деятельности по предупреждению и ликвидации последствий кибератак и других видов информационных угроз. </w:t>
      </w:r>
    </w:p>
    <w:p>
      <w:pPr>
        <w:spacing w:after="0" w:line="360" w:lineRule="auto"/>
        <w:ind w:firstLine="708"/>
      </w:pPr>
      <w:r>
        <w:t xml:space="preserve">Защита населения и территорий от чрезвычайных ситуаций является одной из главных задач государства. Для этого принимаются следующие меры: </w:t>
      </w:r>
    </w:p>
    <w:p>
      <w:pPr>
        <w:spacing w:after="0" w:line="360" w:lineRule="auto"/>
        <w:ind w:firstLine="708"/>
      </w:pPr>
      <w:r>
        <w:t xml:space="preserve">1. Разработка и реализация планов гражданской обороны на случай возникновения чрезвычайных ситуаций. </w:t>
      </w:r>
    </w:p>
    <w:p>
      <w:pPr>
        <w:spacing w:after="0" w:line="360" w:lineRule="auto"/>
        <w:ind w:firstLine="708"/>
      </w:pPr>
      <w:r>
        <w:t xml:space="preserve">2. Создание и поддержание в постоянной готовности оперативных групп, которые могут быстро реагировать на чрезвычайные ситуации. </w:t>
      </w:r>
    </w:p>
    <w:p>
      <w:pPr>
        <w:spacing w:after="0" w:line="360" w:lineRule="auto"/>
        <w:ind w:firstLine="708"/>
      </w:pPr>
      <w:r>
        <w:t xml:space="preserve">3. Обеспечение наличия необходимого оборудования, техники и материалов для борьбы с чрезвычайными ситуациями. </w:t>
      </w:r>
    </w:p>
    <w:p>
      <w:pPr>
        <w:spacing w:after="0" w:line="360" w:lineRule="auto"/>
        <w:ind w:firstLine="708"/>
      </w:pPr>
      <w:r>
        <w:t xml:space="preserve">4. Организация системы связи и оповещения, включая средства массовой информации. </w:t>
      </w:r>
    </w:p>
    <w:p>
      <w:pPr>
        <w:spacing w:after="0" w:line="360" w:lineRule="auto"/>
        <w:ind w:firstLine="708"/>
      </w:pPr>
      <w:r>
        <w:t xml:space="preserve">5. Проведение учений и тренировок сил и средств гражданской обороны для повышения их готовности к действиям в экстремальных ситуациях. </w:t>
      </w:r>
    </w:p>
    <w:p>
      <w:pPr>
        <w:spacing w:after="0" w:line="360" w:lineRule="auto"/>
        <w:ind w:firstLine="708"/>
      </w:pPr>
      <w:r>
        <w:t xml:space="preserve">6. Обеспечение населения специальными убежищами, где они могут укрыться в случае надвигающейся опасности. </w:t>
      </w:r>
    </w:p>
    <w:p>
      <w:pPr>
        <w:spacing w:after="0" w:line="360" w:lineRule="auto"/>
        <w:ind w:firstLine="708"/>
      </w:pPr>
      <w:r>
        <w:t xml:space="preserve">7. Проведение профилактических мероприятий с целью предупреждения возникновения чрезвычайных ситуаций. </w:t>
      </w:r>
    </w:p>
    <w:p>
      <w:pPr>
        <w:spacing w:after="0" w:line="360" w:lineRule="auto"/>
        <w:ind w:firstLine="708"/>
      </w:pPr>
      <w:r>
        <w:t xml:space="preserve">8. Создание системы контроля и мониторинга природных и техногенных процессов, которые могут привести к чрезвычайным ситуациям. </w:t>
      </w:r>
    </w:p>
    <w:p>
      <w:pPr>
        <w:spacing w:after="0" w:line="360" w:lineRule="auto"/>
        <w:ind w:firstLine="708"/>
      </w:pPr>
      <w:r>
        <w:t xml:space="preserve">9. Обучение населения элементарным приемам первой помощи. </w:t>
      </w:r>
    </w:p>
    <w:p>
      <w:pPr>
        <w:spacing w:after="0" w:line="360" w:lineRule="auto"/>
        <w:ind w:firstLine="708"/>
      </w:pPr>
      <w:r>
        <w:t xml:space="preserve">10. Проведение организационно-технических мероприятий на объектах повышенной опасности. </w:t>
      </w:r>
    </w:p>
    <w:p>
      <w:pPr>
        <w:spacing w:after="0" w:line="360" w:lineRule="auto"/>
        <w:ind w:firstLine="708"/>
      </w:pPr>
      <w:r>
        <w:t xml:space="preserve">Все перечисленные меры являются важными для обеспечения безопасности населения и территорий в чрезвычайных ситуациях. </w:t>
      </w:r>
    </w:p>
    <w:p>
      <w:pPr>
        <w:pStyle w:val="14"/>
      </w:pPr>
    </w:p>
    <w:p>
      <w:pPr>
        <w:pStyle w:val="14"/>
        <w:ind w:firstLine="708"/>
      </w:pPr>
      <w:bookmarkStart w:id="28" w:name="_Toc159446152"/>
      <w:bookmarkStart w:id="29" w:name="_Toc159527863"/>
      <w:r>
        <w:t>2.5 Вопросы безопасности жизнедеятельности человека</w:t>
      </w:r>
      <w:bookmarkEnd w:id="28"/>
      <w:bookmarkEnd w:id="29"/>
      <w:r>
        <w:t xml:space="preserve"> </w:t>
      </w:r>
    </w:p>
    <w:p>
      <w:pPr>
        <w:spacing w:after="0" w:line="360" w:lineRule="auto"/>
        <w:ind w:firstLine="708"/>
      </w:pPr>
    </w:p>
    <w:p>
      <w:pPr>
        <w:spacing w:after="0" w:line="360" w:lineRule="auto"/>
        <w:ind w:firstLine="708"/>
      </w:pPr>
      <w:r>
        <w:t xml:space="preserve">Электрический ток – это упорядоченное движение электрических зарядов. Сила тока в участке цепи прямо пропорциональна разности потенциалов и обратно пропорциональна сопротивлению участка цепи. </w:t>
      </w:r>
    </w:p>
    <w:p>
      <w:pPr>
        <w:spacing w:after="0" w:line="360" w:lineRule="auto"/>
        <w:ind w:firstLine="708"/>
      </w:pPr>
      <w:r>
        <w:t xml:space="preserve">Электрическая сеть – совокупность электроустановок для передачи и распределения электрической энергии, состоящая из подстанций, распределительных устройств, токопроводов, воздушных и кабельных линий электропередачи, работающих на определенной территории [10]. </w:t>
      </w:r>
    </w:p>
    <w:p>
      <w:pPr>
        <w:spacing w:after="0" w:line="360" w:lineRule="auto"/>
        <w:ind w:firstLine="708"/>
      </w:pPr>
      <w:r>
        <w:t xml:space="preserve">Виды электрических сетей, включают в себя: однофазную сеть, трехфазная сеть, сеть постоянного тока, солнечная электрическая сеть и ветряная электрическая сеть. </w:t>
      </w:r>
    </w:p>
    <w:p>
      <w:pPr>
        <w:spacing w:after="0" w:line="360" w:lineRule="auto"/>
        <w:ind w:firstLine="708"/>
      </w:pPr>
      <w:r>
        <w:t xml:space="preserve">Эклектический ток характеризуется следующими параметрами: </w:t>
      </w:r>
    </w:p>
    <w:p>
      <w:pPr>
        <w:spacing w:after="0" w:line="360" w:lineRule="auto"/>
        <w:ind w:firstLine="708"/>
      </w:pPr>
      <w:r>
        <w:t xml:space="preserve">1. Сила тока (I, А) – количество электрического заряда, протекающего через проводник в единицу времени. </w:t>
      </w:r>
    </w:p>
    <w:p>
      <w:pPr>
        <w:spacing w:after="0" w:line="360" w:lineRule="auto"/>
        <w:ind w:firstLine="708"/>
      </w:pPr>
      <w:r>
        <w:t xml:space="preserve">2. Напряжение (U, V) – разность потенциалов между двумя точками проводника, которая приводит к течению электрического тока. </w:t>
      </w:r>
    </w:p>
    <w:p>
      <w:pPr>
        <w:spacing w:after="0" w:line="360" w:lineRule="auto"/>
        <w:ind w:firstLine="708"/>
      </w:pPr>
      <w:r>
        <w:t xml:space="preserve">3. Сопротивление (R, Ом) – характеристика проводника, описывающая его способность сопротивляться току электрического заряда. </w:t>
      </w:r>
    </w:p>
    <w:p>
      <w:pPr>
        <w:spacing w:after="0" w:line="360" w:lineRule="auto"/>
        <w:ind w:firstLine="708"/>
      </w:pPr>
      <w:r>
        <w:t xml:space="preserve">4. Мощность (P, W) – количество электрической энергии, преобразованной в единицу времени. </w:t>
      </w:r>
    </w:p>
    <w:p>
      <w:pPr>
        <w:spacing w:after="0" w:line="360" w:lineRule="auto"/>
        <w:ind w:firstLine="708"/>
      </w:pPr>
      <w:r>
        <w:t xml:space="preserve">5.Частота (f, Гц) – количество циклов изменения направления тока в единицу времени. </w:t>
      </w:r>
    </w:p>
    <w:p>
      <w:pPr>
        <w:spacing w:after="0" w:line="360" w:lineRule="auto"/>
        <w:ind w:firstLine="708"/>
      </w:pPr>
      <w:r>
        <w:t xml:space="preserve">6. Фаза (φ) – временная разность между моментами колебаний тока и напряжения. </w:t>
      </w:r>
    </w:p>
    <w:p>
      <w:pPr>
        <w:spacing w:after="0" w:line="360" w:lineRule="auto"/>
        <w:ind w:firstLine="708"/>
      </w:pPr>
      <w:r>
        <w:t xml:space="preserve">Источники электроопасности включают в себя: электрические провода и кабели; электроустановки (выключатели, розетки, щиты и прочие); электрические машины и оборудование; электрические крепления; электрические импульсы (разряды) и поражения. 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 xml:space="preserve">Напряжение прикосновения - это напряжение между двумя точками цепи, к которым одновременно прикасается человек. Если человек прикасается к заземленному корпусу, находящемуся в контакте с одной из фаз, через него проходит часть тока замыкания на землю; если корпус не заземлен, через него проходит весь ток замыкания на землю (однополярный контакт). Наибольшую опасность для человека представляет прикосновение к находящемуся под напряжением корпусу вне излучаемого магнитного поля. </w:t>
      </w:r>
      <w:r>
        <w:rPr>
          <w:rFonts w:hint="default"/>
          <w:lang w:val="ru-RU"/>
        </w:rPr>
        <w:tab/>
      </w:r>
      <w:r>
        <w:rPr>
          <w:rFonts w:hint="default"/>
        </w:rPr>
        <w:t>Для защиты людей от напряжения прикосновения разность потенциалов выравнивается и используется дополнительная изолированная электрозащита (изолированные подставки, изолирующие коврики).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>Напряжение шага - это напряжение, возникающее при протекании тока по полу или проводящему полу и равное разности потенциалов между двумя точками на поверхности пола (земли) на расстоянии одного шага от человека. Величина шагового напряжения зависит от ширины шага и расстояния человека от замыкания на землю. Напряжение шага уменьшается по мере удаления от места замыкания на землю.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 xml:space="preserve">Все установки делятся на три класса в зависимости от риска поражения электрическим током: 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 xml:space="preserve">Класс 1: неопасные установки (напряжение питания для переносных электроприборов до 220 В). Там, где пол изолирован, не содержит токопроводящей пыли и микроклимат является приемлемым или оптимальным; 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>Опасные помещения класса 2 (напряжение питания переносных электроприборов до 36 В). Влажность (&gt;75%), температура в помещении выше 30°C, токопроводящая пыль в помещении, токопроводящий пол, множество металлических конструкций в помещении.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>Особо опасные установки класса 3 (допускается напряжение питания переносных светильников до 12 В). Помещения, где наблюдается любое из следующих условий: высокая влажность ~ 100%, агрессивная среда, разрушительное воздействие на изоляторы и рабочие части оборудования, где одновременно присутствуют два или более факторов, характерных для особо опасных установок.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>Воздействие электрического тока на организм можно классифицировать как нагрев, электролиз или механическое воздействие.</w:t>
      </w:r>
    </w:p>
    <w:p>
      <w:pPr>
        <w:spacing w:line="360" w:lineRule="auto"/>
        <w:ind w:firstLine="708" w:firstLineChars="0"/>
        <w:jc w:val="both"/>
        <w:rPr>
          <w:rFonts w:hint="default"/>
        </w:rPr>
      </w:pPr>
      <w:r>
        <w:rPr>
          <w:rFonts w:hint="default"/>
        </w:rPr>
        <w:t>Механическое воздействие приводит к ударным эффектам разрыва тканей, отделению и испарению жидкостей из тканей организма. Тепловое воздействие приводит к перегреву и нарушению функций органов, находящихся на пути прохождения тока. Электролитическое действие тока представлено электролизом жидкости в тканях организма и изменением состава крови. При наличии изменений в тканях в зоне воздействия тока на пораженный участок туловища следует наложить сухую стерильную повязку. Во избежание поражения электрическим током перед выполнением всех работ с электрооборудованием и приборами необходимо отключить их от электрической цепи.</w:t>
      </w:r>
    </w:p>
    <w:p>
      <w:pPr>
        <w:spacing w:line="360" w:lineRule="auto"/>
        <w:ind w:firstLine="708" w:firstLineChars="0"/>
        <w:jc w:val="both"/>
      </w:pPr>
      <w:r>
        <w:rPr>
          <w:rFonts w:hint="default"/>
        </w:rPr>
        <w:t>При выборе средств защиты от статического электричества следует учитывать особенности технического процесса, физико-химические свойства обрабатываемых материалов, микроклимат помещения и т.д. для определения дифференцированного подхода к разработке защитных мероприятий. Общими средствами защиты от статического электричества являются снижение его генерации или снятие статического электричества с заряженных материалов, что может быть достигнуто путем заземления металлических и токопроводящих элементов оборудования, увеличения поверхностной и объемной проводимости диэлектриков, установки нейтрализаторов статического электричества. Заземление выполняется независимо от применения других методов защиты [11].</w:t>
      </w:r>
      <w:r>
        <w:br w:type="page"/>
      </w:r>
    </w:p>
    <w:p>
      <w:pPr>
        <w:pStyle w:val="14"/>
        <w:jc w:val="center"/>
      </w:pPr>
      <w:bookmarkStart w:id="30" w:name="_Toc159527864"/>
      <w:r>
        <w:t>ЗАКЛЮЧЕНИЕ</w:t>
      </w:r>
      <w:bookmarkEnd w:id="30"/>
    </w:p>
    <w:p>
      <w:pPr>
        <w:rPr>
          <w:lang w:eastAsia="zh-CN"/>
        </w:rPr>
      </w:pP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 xml:space="preserve">В ходе системного анализа предметной области были рассмотрены ключевые аспекты разработки </w:t>
      </w:r>
      <w:r>
        <w:rPr>
          <w:lang w:val="ru-RU" w:eastAsia="zh-CN"/>
        </w:rPr>
        <w:t>мессенджера</w:t>
      </w:r>
      <w:r>
        <w:rPr>
          <w:lang w:eastAsia="zh-CN"/>
        </w:rPr>
        <w:t>. Общая характеристика задачи позволила определить основные цели и задачи работы, направленные на создание функционально</w:t>
      </w:r>
      <w:r>
        <w:rPr>
          <w:rFonts w:hint="default"/>
          <w:lang w:val="ru-RU" w:eastAsia="zh-CN"/>
        </w:rPr>
        <w:t>го и полезного чата</w:t>
      </w:r>
      <w:r>
        <w:rPr>
          <w:lang w:eastAsia="zh-CN"/>
        </w:rPr>
        <w:t>.</w:t>
      </w: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 xml:space="preserve">Анализ аналогичных систем выявил основные особенности существующих </w:t>
      </w:r>
      <w:r>
        <w:rPr>
          <w:lang w:val="ru-RU" w:eastAsia="zh-CN"/>
        </w:rPr>
        <w:t>чатов</w:t>
      </w:r>
      <w:r>
        <w:rPr>
          <w:rFonts w:hint="default"/>
          <w:lang w:val="ru-RU" w:eastAsia="zh-CN"/>
        </w:rPr>
        <w:t>,</w:t>
      </w:r>
      <w:r>
        <w:rPr>
          <w:lang w:eastAsia="zh-CN"/>
        </w:rPr>
        <w:t xml:space="preserve"> что позволило сделать выводы о преимуществах и недостатках различных подходов к разработке </w:t>
      </w:r>
      <w:r>
        <w:rPr>
          <w:lang w:val="ru-RU" w:eastAsia="zh-CN"/>
        </w:rPr>
        <w:t>мессенджеров</w:t>
      </w:r>
      <w:r>
        <w:rPr>
          <w:lang w:eastAsia="zh-CN"/>
        </w:rPr>
        <w:t>.</w:t>
      </w: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>Постановка цели и задач работы определила основные направления деятельности, необходимые для успешного завершения проекта. Разработка мероприятий по обеспечению нормальных и безопасных условий труда включала в себя оценку рабочего пространства, выбор и обоснование мероприятий, а также обеспечение пожарной безопасности, вопросы гражданской обороны и безопасности жизнедеятельности человека.</w:t>
      </w: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 xml:space="preserve">В целом, проведение данного исследования позволило получить ценный опыт и знания в области разработки </w:t>
      </w:r>
      <w:r>
        <w:rPr>
          <w:lang w:val="ru-RU" w:eastAsia="zh-CN"/>
        </w:rPr>
        <w:t>чатов</w:t>
      </w:r>
      <w:r>
        <w:rPr>
          <w:lang w:eastAsia="zh-CN"/>
        </w:rPr>
        <w:t>, а также ознакомиться с вопросами охраны труда, безопасности жизнедеятельности и гражданской обороны в контексте работы над проектами в информационных технологиях.</w:t>
      </w:r>
    </w:p>
    <w:p>
      <w:pPr>
        <w:jc w:val="left"/>
        <w:rPr>
          <w:lang w:eastAsia="zh-CN"/>
        </w:rPr>
      </w:pPr>
      <w:r>
        <w:rPr>
          <w:lang w:eastAsia="zh-CN"/>
        </w:rPr>
        <w:br w:type="page"/>
      </w:r>
    </w:p>
    <w:p>
      <w:pPr>
        <w:pStyle w:val="14"/>
        <w:jc w:val="center"/>
      </w:pPr>
      <w:bookmarkStart w:id="31" w:name="_Toc159527865"/>
      <w:r>
        <w:t>СПИСОК ЛИТЕРАТУРЫ</w:t>
      </w:r>
      <w:bookmarkEnd w:id="31"/>
    </w:p>
    <w:p>
      <w:pPr>
        <w:rPr>
          <w:lang w:eastAsia="zh-CN"/>
        </w:rPr>
      </w:pP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 xml:space="preserve">1.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"https://elama.ru/glossary/messendzher" \o "elama.ru — Мессенджер – что это такое, для чего он нужен, список популярных мессенджеров | Словарь по маркетингу и интернет-рекламе" \t "https://yandex.ru/_blank" </w:instrText>
      </w:r>
      <w:r>
        <w:rPr>
          <w:lang w:eastAsia="zh-CN"/>
        </w:rPr>
        <w:fldChar w:fldCharType="separate"/>
      </w:r>
      <w:r>
        <w:rPr>
          <w:lang w:eastAsia="zh-CN"/>
        </w:rPr>
        <w:t>Мессенджер – что это такое, для чего он нужен</w:t>
      </w:r>
      <w:r>
        <w:rPr>
          <w:lang w:eastAsia="zh-CN"/>
        </w:rPr>
        <w:fldChar w:fldCharType="end"/>
      </w:r>
      <w:r>
        <w:rPr>
          <w:lang w:eastAsia="zh-CN"/>
        </w:rPr>
        <w:t xml:space="preserve"> – URL: </w:t>
      </w:r>
      <w:r>
        <w:rPr>
          <w:rFonts w:hint="default"/>
          <w:lang w:eastAsia="zh-CN"/>
        </w:rPr>
        <w:t>https://elama.ru/glossary/messendzher</w:t>
      </w:r>
    </w:p>
    <w:p>
      <w:pPr>
        <w:spacing w:after="0" w:line="360" w:lineRule="auto"/>
        <w:ind w:firstLine="70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WhatsApp: история самого популярного мессенджера в мире</w:t>
      </w:r>
      <w:r>
        <w:rPr>
          <w:lang w:val="en-US" w:eastAsia="zh-CN"/>
        </w:rPr>
        <w:t xml:space="preserve"> – URL: </w:t>
      </w:r>
      <w:r>
        <w:rPr>
          <w:rFonts w:hint="default"/>
          <w:lang w:val="en-US" w:eastAsia="zh-CN"/>
        </w:rPr>
        <w:t>https://dzen.ru/a/ZEDARmuMHklH3UfL</w:t>
      </w:r>
    </w:p>
    <w:p>
      <w:pPr>
        <w:spacing w:after="0" w:line="360" w:lineRule="auto"/>
        <w:ind w:firstLine="708"/>
        <w:rPr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lang w:val="en-US" w:eastAsia="zh-CN"/>
        </w:rPr>
        <w:t xml:space="preserve">.  Дао WeChat – URL: </w:t>
      </w:r>
      <w:r>
        <w:rPr>
          <w:rFonts w:hint="default"/>
          <w:lang w:val="en-US" w:eastAsia="zh-CN"/>
        </w:rPr>
        <w:t>https://dzen.ru/a/YwQJ_4govy0Pq_13</w:t>
      </w:r>
    </w:p>
    <w:p>
      <w:pPr>
        <w:spacing w:after="0" w:line="360" w:lineRule="auto"/>
        <w:ind w:firstLine="708"/>
        <w:rPr>
          <w:lang w:val="en-US" w:eastAsia="zh-CN"/>
        </w:rPr>
      </w:pPr>
      <w:r>
        <w:rPr>
          <w:rFonts w:hint="default"/>
          <w:lang w:val="en-US" w:eastAsia="zh-CN"/>
        </w:rPr>
        <w:t xml:space="preserve">4. </w:t>
      </w:r>
      <w:r>
        <w:rPr>
          <w:lang w:eastAsia="zh-CN"/>
        </w:rPr>
        <w:t xml:space="preserve">Краткая история создания Телеграм – URL: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"https://martrending.ru/smm/istoriya-sozdaniya-telegram" </w:instrText>
      </w:r>
      <w:r>
        <w:rPr>
          <w:rFonts w:hint="default"/>
          <w:lang w:eastAsia="zh-CN"/>
        </w:rPr>
        <w:fldChar w:fldCharType="separate"/>
      </w:r>
      <w:r>
        <w:rPr>
          <w:rFonts w:hint="default"/>
          <w:lang w:eastAsia="zh-CN"/>
        </w:rPr>
        <w:t>https://martrending.ru/smm/istoriya-sozdaniya-telegram</w:t>
      </w:r>
      <w:r>
        <w:rPr>
          <w:rFonts w:hint="default"/>
          <w:lang w:eastAsia="zh-CN"/>
        </w:rPr>
        <w:fldChar w:fldCharType="end"/>
      </w: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 xml:space="preserve">5. </w:t>
      </w:r>
      <w:bookmarkStart w:id="32" w:name="_GoBack"/>
      <w:r>
        <w:rPr>
          <w:lang w:eastAsia="zh-CN"/>
        </w:rPr>
        <w:t xml:space="preserve">Важность охраны труда на предприятиях – URL: https://www.znakcomplect.ru/poleznosti/example/metodiki/vazhnost-oxrany-trudana-predpriyatiyax.html . </w:t>
      </w:r>
    </w:p>
    <w:p>
      <w:pPr>
        <w:spacing w:after="0" w:line="360" w:lineRule="auto"/>
        <w:ind w:firstLine="708"/>
        <w:rPr>
          <w:lang w:eastAsia="zh-CN"/>
        </w:rPr>
      </w:pPr>
      <w:r>
        <w:rPr>
          <w:lang w:eastAsia="zh-CN"/>
        </w:rPr>
        <w:t>6. ГОСТ Р 12.1.019-2009 Система стандартов безопасности труда (ССБТ). Электробезопасность. Общие требования и номенклатура видов защиты. – URL: docs.cntd.ru/document/1200080203 (дата обращения: 02.05.2023).</w:t>
      </w:r>
    </w:p>
    <w:p>
      <w:pPr>
        <w:spacing w:after="0" w:line="360" w:lineRule="auto"/>
        <w:ind w:firstLine="708"/>
        <w:rPr>
          <w:rStyle w:val="6"/>
          <w:color w:val="000000"/>
          <w:szCs w:val="28"/>
          <w:u w:val="none"/>
        </w:rPr>
      </w:pPr>
      <w:r>
        <w:rPr>
          <w:color w:val="000000"/>
          <w:szCs w:val="28"/>
        </w:rPr>
        <w:t xml:space="preserve">7. Стратегии тестирования – </w:t>
      </w:r>
      <w:r>
        <w:rPr>
          <w:color w:val="000000"/>
          <w:szCs w:val="28"/>
          <w:lang w:val="en-US"/>
        </w:rPr>
        <w:t>URL</w:t>
      </w:r>
      <w:r>
        <w:rPr>
          <w:color w:val="000000"/>
          <w:szCs w:val="28"/>
        </w:rPr>
        <w:t>: https://studfiles.net/preview/945065/page:3</w:t>
      </w:r>
      <w:r>
        <w:rPr>
          <w:rStyle w:val="6"/>
          <w:color w:val="000000"/>
          <w:szCs w:val="28"/>
          <w:u w:val="none"/>
        </w:rPr>
        <w:t>.</w:t>
      </w:r>
    </w:p>
    <w:p>
      <w:pPr>
        <w:spacing w:after="0" w:line="360" w:lineRule="auto"/>
        <w:ind w:firstLine="708"/>
      </w:pPr>
      <w:r>
        <w:t xml:space="preserve">8. ГОСТ Р 12.3.047-2012 Система стандартов безопасности труда (ССБТ). Пожарная безопасность технологических процессов. Общие требования – URL: docs.cntd.ru/document/1200103505 (дата обращения: 03.05.2023). </w:t>
      </w:r>
    </w:p>
    <w:p>
      <w:pPr>
        <w:spacing w:after="0" w:line="360" w:lineRule="auto"/>
        <w:ind w:firstLine="708"/>
      </w:pPr>
      <w:r>
        <w:t xml:space="preserve">9. Основные мероприятия по гражданской обороне, осуществляемые в целях решения задач – URL: https://16.mchs.gov.ru/deyatelnost/napravleniyadeyatelnosti/grazhdanskaya-oborona/o-grazhdanskoy-oborone/osnovnyemeropriyatiya-po-grazhdanskoy-oborone-osushchestvlyaemye-v-celyah-resheniyazadach (дата обращения: 03.05.2023). </w:t>
      </w:r>
    </w:p>
    <w:p>
      <w:pPr>
        <w:spacing w:after="0" w:line="360" w:lineRule="auto"/>
        <w:ind w:firstLine="708"/>
      </w:pPr>
      <w:r>
        <w:t xml:space="preserve">10. ПУЭ 7. Глава 1.2. Электроснабжение и электрические сети – URL: https://svel.ru/tekhnicheskaya-dokumentaciya/ pue/obshchie_ pravila /elektrosnabzhenie_i_elektricheskie_seti/ . </w:t>
      </w:r>
    </w:p>
    <w:p>
      <w:pPr>
        <w:spacing w:after="0" w:line="360" w:lineRule="auto"/>
        <w:ind w:firstLine="708"/>
        <w:rPr>
          <w:rStyle w:val="6"/>
          <w:color w:val="000000"/>
          <w:szCs w:val="28"/>
        </w:rPr>
      </w:pPr>
      <w:r>
        <w:t>11. Национальный исследовательский университет «МЭИ». Ответы на вопросы по курсу «Безопасность жизнедеятельности» – URL: https://studfile.net/preview/2719564/.</w:t>
      </w:r>
    </w:p>
    <w:p>
      <w:pPr>
        <w:spacing w:line="360" w:lineRule="auto"/>
        <w:rPr>
          <w:lang w:eastAsia="zh-CN"/>
        </w:rPr>
      </w:pPr>
    </w:p>
    <w:p>
      <w:pPr>
        <w:spacing w:line="360" w:lineRule="auto"/>
        <w:rPr>
          <w:lang w:eastAsia="zh-CN"/>
        </w:rPr>
      </w:pPr>
    </w:p>
    <w:bookmarkEnd w:id="32"/>
    <w:p>
      <w:pPr>
        <w:rPr>
          <w:lang w:eastAsia="zh-CN"/>
        </w:rPr>
      </w:pPr>
    </w:p>
    <w:sectPr>
      <w:headerReference r:id="rId5" w:type="default"/>
      <w:type w:val="continuous"/>
      <w:pgSz w:w="11906" w:h="16838"/>
      <w:pgMar w:top="1134" w:right="851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76579953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0A63C3"/>
    <w:multiLevelType w:val="multilevel"/>
    <w:tmpl w:val="180A63C3"/>
    <w:lvl w:ilvl="0" w:tentative="0">
      <w:start w:val="1"/>
      <w:numFmt w:val="decimal"/>
      <w:lvlText w:val="%1."/>
      <w:lvlJc w:val="left"/>
      <w:pPr>
        <w:tabs>
          <w:tab w:val="left" w:pos="1070"/>
        </w:tabs>
        <w:ind w:left="1070" w:hanging="360"/>
      </w:pPr>
    </w:lvl>
    <w:lvl w:ilvl="1" w:tentative="0">
      <w:start w:val="1"/>
      <w:numFmt w:val="decimal"/>
      <w:lvlText w:val="%2."/>
      <w:lvlJc w:val="left"/>
      <w:pPr>
        <w:tabs>
          <w:tab w:val="left" w:pos="1790"/>
        </w:tabs>
        <w:ind w:left="1790" w:hanging="360"/>
      </w:pPr>
    </w:lvl>
    <w:lvl w:ilvl="2" w:tentative="0">
      <w:start w:val="1"/>
      <w:numFmt w:val="decimal"/>
      <w:lvlText w:val="%3."/>
      <w:lvlJc w:val="left"/>
      <w:pPr>
        <w:tabs>
          <w:tab w:val="left" w:pos="2510"/>
        </w:tabs>
        <w:ind w:left="2510" w:hanging="360"/>
      </w:pPr>
    </w:lvl>
    <w:lvl w:ilvl="3" w:tentative="0">
      <w:start w:val="1"/>
      <w:numFmt w:val="decimal"/>
      <w:lvlText w:val="%4."/>
      <w:lvlJc w:val="left"/>
      <w:pPr>
        <w:tabs>
          <w:tab w:val="left" w:pos="3230"/>
        </w:tabs>
        <w:ind w:left="3230" w:hanging="360"/>
      </w:pPr>
    </w:lvl>
    <w:lvl w:ilvl="4" w:tentative="0">
      <w:start w:val="1"/>
      <w:numFmt w:val="decimal"/>
      <w:lvlText w:val="%5."/>
      <w:lvlJc w:val="left"/>
      <w:pPr>
        <w:tabs>
          <w:tab w:val="left" w:pos="3950"/>
        </w:tabs>
        <w:ind w:left="3950" w:hanging="360"/>
      </w:pPr>
    </w:lvl>
    <w:lvl w:ilvl="5" w:tentative="0">
      <w:start w:val="1"/>
      <w:numFmt w:val="decimal"/>
      <w:lvlText w:val="%6."/>
      <w:lvlJc w:val="left"/>
      <w:pPr>
        <w:tabs>
          <w:tab w:val="left" w:pos="4670"/>
        </w:tabs>
        <w:ind w:left="4670" w:hanging="360"/>
      </w:pPr>
    </w:lvl>
    <w:lvl w:ilvl="6" w:tentative="0">
      <w:start w:val="1"/>
      <w:numFmt w:val="decimal"/>
      <w:lvlText w:val="%7."/>
      <w:lvlJc w:val="left"/>
      <w:pPr>
        <w:tabs>
          <w:tab w:val="left" w:pos="5390"/>
        </w:tabs>
        <w:ind w:left="5390" w:hanging="360"/>
      </w:pPr>
    </w:lvl>
    <w:lvl w:ilvl="7" w:tentative="0">
      <w:start w:val="1"/>
      <w:numFmt w:val="decimal"/>
      <w:lvlText w:val="%8."/>
      <w:lvlJc w:val="left"/>
      <w:pPr>
        <w:tabs>
          <w:tab w:val="left" w:pos="6110"/>
        </w:tabs>
        <w:ind w:left="6110" w:hanging="360"/>
      </w:pPr>
    </w:lvl>
    <w:lvl w:ilvl="8" w:tentative="0">
      <w:start w:val="1"/>
      <w:numFmt w:val="decimal"/>
      <w:lvlText w:val="%9."/>
      <w:lvlJc w:val="left"/>
      <w:pPr>
        <w:tabs>
          <w:tab w:val="left" w:pos="6830"/>
        </w:tabs>
        <w:ind w:left="6830" w:hanging="360"/>
      </w:pPr>
    </w:lvl>
  </w:abstractNum>
  <w:abstractNum w:abstractNumId="1">
    <w:nsid w:val="46B43336"/>
    <w:multiLevelType w:val="multilevel"/>
    <w:tmpl w:val="46B43336"/>
    <w:lvl w:ilvl="0" w:tentative="0">
      <w:start w:val="1"/>
      <w:numFmt w:val="decimal"/>
      <w:pStyle w:val="1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">
    <w:nsid w:val="4B0B1C5A"/>
    <w:multiLevelType w:val="multilevel"/>
    <w:tmpl w:val="4B0B1C5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101B50"/>
    <w:multiLevelType w:val="multilevel"/>
    <w:tmpl w:val="4D101B50"/>
    <w:lvl w:ilvl="0" w:tentative="0">
      <w:start w:val="1"/>
      <w:numFmt w:val="bullet"/>
      <w:lvlText w:val=""/>
      <w:lvlJc w:val="left"/>
      <w:pPr>
        <w:tabs>
          <w:tab w:val="left" w:pos="0"/>
        </w:tabs>
        <w:ind w:left="1069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3F7"/>
    <w:rsid w:val="00014E56"/>
    <w:rsid w:val="000379CD"/>
    <w:rsid w:val="000654DE"/>
    <w:rsid w:val="00082B63"/>
    <w:rsid w:val="00084587"/>
    <w:rsid w:val="00085DEA"/>
    <w:rsid w:val="00086FDF"/>
    <w:rsid w:val="000C3019"/>
    <w:rsid w:val="000D068D"/>
    <w:rsid w:val="000E039D"/>
    <w:rsid w:val="000E7313"/>
    <w:rsid w:val="001071EC"/>
    <w:rsid w:val="001077B8"/>
    <w:rsid w:val="001959A9"/>
    <w:rsid w:val="001D52EB"/>
    <w:rsid w:val="001E4668"/>
    <w:rsid w:val="001F3D73"/>
    <w:rsid w:val="001F53F7"/>
    <w:rsid w:val="00212D77"/>
    <w:rsid w:val="00244776"/>
    <w:rsid w:val="00256AA0"/>
    <w:rsid w:val="002701EA"/>
    <w:rsid w:val="00293947"/>
    <w:rsid w:val="003147E1"/>
    <w:rsid w:val="00315482"/>
    <w:rsid w:val="003519FD"/>
    <w:rsid w:val="00356E70"/>
    <w:rsid w:val="00373583"/>
    <w:rsid w:val="0039762A"/>
    <w:rsid w:val="003A6790"/>
    <w:rsid w:val="003A7526"/>
    <w:rsid w:val="003D5697"/>
    <w:rsid w:val="003F0D97"/>
    <w:rsid w:val="004250EA"/>
    <w:rsid w:val="00467C9E"/>
    <w:rsid w:val="00470D83"/>
    <w:rsid w:val="00474108"/>
    <w:rsid w:val="004F6E1D"/>
    <w:rsid w:val="00504B16"/>
    <w:rsid w:val="00525173"/>
    <w:rsid w:val="00531B89"/>
    <w:rsid w:val="005563BB"/>
    <w:rsid w:val="00561CA0"/>
    <w:rsid w:val="0058262F"/>
    <w:rsid w:val="005F4F98"/>
    <w:rsid w:val="006363ED"/>
    <w:rsid w:val="0065553B"/>
    <w:rsid w:val="0065692F"/>
    <w:rsid w:val="006574C7"/>
    <w:rsid w:val="00664CDF"/>
    <w:rsid w:val="00670CB6"/>
    <w:rsid w:val="00694388"/>
    <w:rsid w:val="006B0976"/>
    <w:rsid w:val="006B2281"/>
    <w:rsid w:val="006B7EA7"/>
    <w:rsid w:val="006F0622"/>
    <w:rsid w:val="00702E52"/>
    <w:rsid w:val="00705EC6"/>
    <w:rsid w:val="007146A9"/>
    <w:rsid w:val="00747490"/>
    <w:rsid w:val="00752FBF"/>
    <w:rsid w:val="00767ED0"/>
    <w:rsid w:val="007C28FA"/>
    <w:rsid w:val="007C294F"/>
    <w:rsid w:val="008044C2"/>
    <w:rsid w:val="00831780"/>
    <w:rsid w:val="008578CF"/>
    <w:rsid w:val="008758FE"/>
    <w:rsid w:val="00901525"/>
    <w:rsid w:val="009174C3"/>
    <w:rsid w:val="0093074C"/>
    <w:rsid w:val="009461A8"/>
    <w:rsid w:val="00971C7C"/>
    <w:rsid w:val="00983FC5"/>
    <w:rsid w:val="00996079"/>
    <w:rsid w:val="009A67F5"/>
    <w:rsid w:val="009D334F"/>
    <w:rsid w:val="009E2054"/>
    <w:rsid w:val="009F5508"/>
    <w:rsid w:val="00A07A2C"/>
    <w:rsid w:val="00A152FD"/>
    <w:rsid w:val="00A22860"/>
    <w:rsid w:val="00A7331F"/>
    <w:rsid w:val="00AA454D"/>
    <w:rsid w:val="00AC6DDE"/>
    <w:rsid w:val="00AE5C26"/>
    <w:rsid w:val="00B0293A"/>
    <w:rsid w:val="00B534EC"/>
    <w:rsid w:val="00BA7DA5"/>
    <w:rsid w:val="00BC4FDB"/>
    <w:rsid w:val="00BD61E5"/>
    <w:rsid w:val="00BE6FDC"/>
    <w:rsid w:val="00C21696"/>
    <w:rsid w:val="00C33E7A"/>
    <w:rsid w:val="00C374F7"/>
    <w:rsid w:val="00C46984"/>
    <w:rsid w:val="00C47D2F"/>
    <w:rsid w:val="00C615B5"/>
    <w:rsid w:val="00C9040F"/>
    <w:rsid w:val="00C9108C"/>
    <w:rsid w:val="00C955DF"/>
    <w:rsid w:val="00CB2B70"/>
    <w:rsid w:val="00CC16E3"/>
    <w:rsid w:val="00D160C2"/>
    <w:rsid w:val="00D2274F"/>
    <w:rsid w:val="00D6385B"/>
    <w:rsid w:val="00D7620D"/>
    <w:rsid w:val="00D94F20"/>
    <w:rsid w:val="00DD4DEE"/>
    <w:rsid w:val="00DF1772"/>
    <w:rsid w:val="00DF7342"/>
    <w:rsid w:val="00E358CF"/>
    <w:rsid w:val="00E634FF"/>
    <w:rsid w:val="00E77F48"/>
    <w:rsid w:val="00E84EBF"/>
    <w:rsid w:val="00EA12F3"/>
    <w:rsid w:val="00EB05DC"/>
    <w:rsid w:val="00EE3415"/>
    <w:rsid w:val="00F73769"/>
    <w:rsid w:val="00FA7979"/>
    <w:rsid w:val="00FD0245"/>
    <w:rsid w:val="00FE009E"/>
    <w:rsid w:val="02D81657"/>
    <w:rsid w:val="037C68DF"/>
    <w:rsid w:val="099E46D6"/>
    <w:rsid w:val="0B250F22"/>
    <w:rsid w:val="0CE623A3"/>
    <w:rsid w:val="0F616AC6"/>
    <w:rsid w:val="11E80C28"/>
    <w:rsid w:val="1E9C71C6"/>
    <w:rsid w:val="1F7C2B60"/>
    <w:rsid w:val="20590F53"/>
    <w:rsid w:val="20A87FDC"/>
    <w:rsid w:val="20CF364C"/>
    <w:rsid w:val="26E42C3B"/>
    <w:rsid w:val="294644ED"/>
    <w:rsid w:val="2D986765"/>
    <w:rsid w:val="36AF3142"/>
    <w:rsid w:val="38475E19"/>
    <w:rsid w:val="385E39E3"/>
    <w:rsid w:val="39395363"/>
    <w:rsid w:val="397234C5"/>
    <w:rsid w:val="3A3130D5"/>
    <w:rsid w:val="3A8F285A"/>
    <w:rsid w:val="3AE3482A"/>
    <w:rsid w:val="3D662B5B"/>
    <w:rsid w:val="40A11889"/>
    <w:rsid w:val="50D72A8C"/>
    <w:rsid w:val="514D5609"/>
    <w:rsid w:val="51880D0A"/>
    <w:rsid w:val="51EF789D"/>
    <w:rsid w:val="5A677656"/>
    <w:rsid w:val="5B7E6851"/>
    <w:rsid w:val="5C9F5AB4"/>
    <w:rsid w:val="5EF032B4"/>
    <w:rsid w:val="622C3429"/>
    <w:rsid w:val="635F0328"/>
    <w:rsid w:val="63FD4F70"/>
    <w:rsid w:val="669F2946"/>
    <w:rsid w:val="67567154"/>
    <w:rsid w:val="67A33283"/>
    <w:rsid w:val="67CE4ADF"/>
    <w:rsid w:val="6A232FAD"/>
    <w:rsid w:val="6A66711C"/>
    <w:rsid w:val="6E9C5EE8"/>
    <w:rsid w:val="709E3C78"/>
    <w:rsid w:val="75603C4C"/>
    <w:rsid w:val="76D433A2"/>
    <w:rsid w:val="7A3A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24"/>
    <w:autoRedefine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6"/>
    <w:autoRedefine/>
    <w:unhideWhenUsed/>
    <w:qFormat/>
    <w:uiPriority w:val="9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qFormat/>
    <w:uiPriority w:val="99"/>
    <w:rPr>
      <w:color w:val="0000FF"/>
      <w:u w:val="single"/>
    </w:rPr>
  </w:style>
  <w:style w:type="paragraph" w:styleId="7">
    <w:name w:val="header"/>
    <w:basedOn w:val="1"/>
    <w:link w:val="26"/>
    <w:autoRedefine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Body Text"/>
    <w:basedOn w:val="1"/>
    <w:link w:val="22"/>
    <w:qFormat/>
    <w:uiPriority w:val="1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 w:cs="Times New Roman"/>
      <w:kern w:val="0"/>
      <w:szCs w:val="28"/>
      <w14:ligatures w14:val="none"/>
    </w:r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0">
    <w:name w:val="Title"/>
    <w:basedOn w:val="1"/>
    <w:next w:val="1"/>
    <w:link w:val="1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1">
    <w:name w:val="foot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Настоящий заголовок2"/>
    <w:basedOn w:val="3"/>
    <w:next w:val="1"/>
    <w:link w:val="15"/>
    <w:qFormat/>
    <w:uiPriority w:val="0"/>
    <w:pPr>
      <w:spacing w:line="360" w:lineRule="auto"/>
    </w:pPr>
    <w:rPr>
      <w:rFonts w:ascii="Times New Roman" w:hAnsi="Times New Roman"/>
      <w:color w:val="auto"/>
      <w:kern w:val="0"/>
      <w:sz w:val="28"/>
      <w:szCs w:val="28"/>
      <w:lang w:eastAsia="zh-CN"/>
      <w14:ligatures w14:val="none"/>
    </w:rPr>
  </w:style>
  <w:style w:type="character" w:customStyle="1" w:styleId="15">
    <w:name w:val="Настоящий заголовок2 Знак"/>
    <w:basedOn w:val="16"/>
    <w:link w:val="14"/>
    <w:qFormat/>
    <w:uiPriority w:val="0"/>
    <w:rPr>
      <w:rFonts w:ascii="Times New Roman" w:hAnsi="Times New Roman" w:eastAsiaTheme="majorEastAsia" w:cstheme="majorBidi"/>
      <w:color w:val="2F5597" w:themeColor="accent1" w:themeShade="BF"/>
      <w:kern w:val="0"/>
      <w:sz w:val="28"/>
      <w:szCs w:val="28"/>
      <w:lang w:eastAsia="zh-CN"/>
      <w14:ligatures w14:val="none"/>
    </w:rPr>
  </w:style>
  <w:style w:type="character" w:customStyle="1" w:styleId="16">
    <w:name w:val="Заголовок 2 Знак"/>
    <w:basedOn w:val="4"/>
    <w:link w:val="3"/>
    <w:qFormat/>
    <w:uiPriority w:val="9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7">
    <w:name w:val="Стиль1"/>
    <w:basedOn w:val="10"/>
    <w:next w:val="1"/>
    <w:link w:val="18"/>
    <w:qFormat/>
    <w:uiPriority w:val="0"/>
    <w:pPr>
      <w:numPr>
        <w:ilvl w:val="0"/>
        <w:numId w:val="1"/>
      </w:numPr>
      <w:spacing w:line="360" w:lineRule="auto"/>
      <w:ind w:left="1069" w:hanging="360"/>
    </w:pPr>
    <w:rPr>
      <w:rFonts w:ascii="Times New Roman" w:hAnsi="Times New Roman"/>
      <w:sz w:val="28"/>
      <w:szCs w:val="28"/>
      <w:lang w:val="uk-UA" w:eastAsia="zh-CN"/>
      <w14:ligatures w14:val="none"/>
    </w:rPr>
  </w:style>
  <w:style w:type="character" w:customStyle="1" w:styleId="18">
    <w:name w:val="Стиль1 Знак"/>
    <w:basedOn w:val="19"/>
    <w:link w:val="17"/>
    <w:qFormat/>
    <w:uiPriority w:val="0"/>
    <w:rPr>
      <w:rFonts w:ascii="Times New Roman" w:hAnsi="Times New Roman" w:eastAsiaTheme="majorEastAsia" w:cstheme="majorBidi"/>
      <w:spacing w:val="-10"/>
      <w:kern w:val="28"/>
      <w:sz w:val="28"/>
      <w:szCs w:val="28"/>
      <w:lang w:val="uk-UA" w:eastAsia="zh-CN"/>
      <w14:ligatures w14:val="none"/>
    </w:rPr>
  </w:style>
  <w:style w:type="character" w:customStyle="1" w:styleId="19">
    <w:name w:val="Заголовок Знак"/>
    <w:basedOn w:val="4"/>
    <w:link w:val="1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0">
    <w:name w:val="List Paragraph"/>
    <w:basedOn w:val="1"/>
    <w:qFormat/>
    <w:uiPriority w:val="99"/>
    <w:pPr>
      <w:ind w:left="720"/>
      <w:contextualSpacing/>
    </w:pPr>
  </w:style>
  <w:style w:type="table" w:customStyle="1" w:styleId="21">
    <w:name w:val="Table Normal"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2">
    <w:name w:val="Основной текст Знак"/>
    <w:basedOn w:val="4"/>
    <w:link w:val="8"/>
    <w:qFormat/>
    <w:uiPriority w:val="1"/>
    <w:rPr>
      <w:rFonts w:ascii="Times New Roman" w:hAnsi="Times New Roman" w:eastAsia="Times New Roman" w:cs="Times New Roman"/>
      <w:kern w:val="0"/>
      <w:sz w:val="28"/>
      <w:szCs w:val="28"/>
      <w14:ligatures w14:val="none"/>
    </w:rPr>
  </w:style>
  <w:style w:type="paragraph" w:customStyle="1" w:styleId="23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  <w:jc w:val="left"/>
    </w:pPr>
    <w:rPr>
      <w:rFonts w:eastAsia="Times New Roman" w:cs="Times New Roman"/>
      <w:kern w:val="0"/>
      <w:sz w:val="22"/>
      <w14:ligatures w14:val="none"/>
    </w:rPr>
  </w:style>
  <w:style w:type="character" w:customStyle="1" w:styleId="24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"/>
    <w:basedOn w:val="2"/>
    <w:next w:val="1"/>
    <w:unhideWhenUsed/>
    <w:qFormat/>
    <w:uiPriority w:val="39"/>
    <w:pPr>
      <w:jc w:val="left"/>
      <w:outlineLvl w:val="9"/>
    </w:pPr>
    <w:rPr>
      <w:kern w:val="0"/>
      <w:lang w:eastAsia="ru-RU"/>
      <w14:ligatures w14:val="none"/>
    </w:rPr>
  </w:style>
  <w:style w:type="character" w:customStyle="1" w:styleId="26">
    <w:name w:val="Верхний колонтитул Знак"/>
    <w:basedOn w:val="4"/>
    <w:link w:val="7"/>
    <w:qFormat/>
    <w:uiPriority w:val="99"/>
    <w:rPr>
      <w:rFonts w:ascii="Times New Roman" w:hAnsi="Times New Roman"/>
      <w:sz w:val="28"/>
    </w:rPr>
  </w:style>
  <w:style w:type="character" w:customStyle="1" w:styleId="27">
    <w:name w:val="Нижний колонтитул Знак"/>
    <w:basedOn w:val="4"/>
    <w:link w:val="11"/>
    <w:qFormat/>
    <w:uiPriority w:val="99"/>
    <w:rPr>
      <w:rFonts w:ascii="Times New Roman" w:hAnsi="Times New Roman"/>
      <w:sz w:val="28"/>
    </w:rPr>
  </w:style>
  <w:style w:type="character" w:customStyle="1" w:styleId="2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BAAFAB-B023-4C0C-B230-A29F465026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5892</Words>
  <Characters>33589</Characters>
  <Lines>279</Lines>
  <Paragraphs>78</Paragraphs>
  <TotalTime>0</TotalTime>
  <ScaleCrop>false</ScaleCrop>
  <LinksUpToDate>false</LinksUpToDate>
  <CharactersWithSpaces>39403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2024-02-21T17:32:00Z</dcterms:created>
  <dc:creator>Михаил Лукащук</dc:creator>
  <cp:lastModifiedBy>Виталий Безуглый</cp:lastModifiedBy>
  <dcterms:modified xsi:type="dcterms:W3CDTF">2024-05-05T20:22:14Z</dcterms:modified>
  <cp:revision>115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35AC802CA60643E09BB58A891201F9E7_12</vt:lpwstr>
  </property>
</Properties>
</file>