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方欣九鸥 与独角鲸 · 研发费管理系统对比及选型建议</w:t>
      </w:r>
    </w:p>
    <w:p>
      <w:r>
        <w:rPr>
          <w:color w:val="707070"/>
          <w:sz w:val="18"/>
        </w:rPr>
        <w:t>竞品：方欣九鸥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方欣九鸥 与 独角鲸·研发费管理系统。对手公开定位为「研财税一体化智能合规， AI 智能体「鸥小九」；官网明码标价 —— 研管家专业版首年 ¥29,800 / 续费 ¥9,…」；我方以三层护城河（数据层/口径层/责任层）与200+上市及拟IPO案例密度支撑合规结论。所有「我方更优」均附可核证依据；对手真实优势见第五部分第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九鸥在杭州；成立列原文：「1998 （九鸥 2024 ）」；合并「九鸥 AIC 高企云系统」（杭州九鸥数字科技有限公司，杭州，成立 2024）：九鸥 AIC 高企云系统并入方欣九鸥；九鸥为方欣九鸥合资方、持 49%。其定位「面向科技服务机构 / 中介的私有化高企辅助申报系统 + 研发费用智能合规系统（区块链存证、三级预警）」。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方欣九鸥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深圳方欣九鸥数字科技有限公司（方欣科技系：金财互联 002530 参股益东数智、益东数智 100…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研财税一体化智能合规， AI 智能体「鸥小九」；官网明码标价 —— 研管家专业版首年 ¥29,800 / 续费 ¥9,…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对手定位为「研财税一体化智能合规， AI 智能体「鸥小九」；官网明码标价 —— 研管家专业版首年 ¥29,800 / 续费 ¥9,…」；我方聚焦研发投入合规交付链的责任层。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研财税一体化智能合规， AI 智能体「 鸥小九 」；产品「 九鸥研管家 」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#28；定位原文「研财税一体化智能合规， AI 智能体「鸥小九」；官网明码标价 —— 研管家专业版首年 ¥29,800 / 续费 ¥9,…」（B 级信源，2026-09-18）；报告第七章深度档案（B 级信源，2026-09-18）；报告附录一 #112；定位原文「面向科技服务机构 / 中介的私有化高企辅助申报系统 + 研发费用智能合规系统（区块链存证、三级预警）」（B 级信源，2026-09-18）；我方：own.json；对方：报告附录一 #28；定位原文「研财税一体化智能合规， AI 智能体「鸥小九」；官网明码标价 —— 研管家专业版首年 ¥29,800 / 续费 ¥9,…」（B 级信源，2026-09-18）；报告第七章深度档案（B 级信源，2026-09-18）；报告附录一 #112；定位原文「面向科技服务机构 / 中介的私有化高企辅助申报系统 + 研发费用智能合规系统（区块链存证、三级预警）」（B 级信源，2026-09-18）；我方：own.json key_numbers；对方：报告附录一 #28；定位原文「研财税一体化智能合规， AI 智能体「鸥小九」；官网明码标价 —— 研管家专业版首年 ¥29,800 / 续费 ¥9,…」（B 级信源，2026-09-18）；报告第七章深度档案（B 级信源，2026-09-18）；报告附录一 #112；定位原文「面向科技服务机构 / 中介的私有化高企辅助申报系统 + 研发费用智能合规系统（区块链存证、三级预警）」（B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在 2 个维度上，双方公开记录存在差异（见下表，逐条附依据）。9 个维度对手侧公开信息未覆盖（不作主张），均不作推断。</w:t>
      </w:r>
    </w:p>
    <w:p>
      <w:r>
        <w:t>下表为 14 个功能维度的逐项对比（★ = 双方公开记录存在差异，共 5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方欣九鸥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7.14（报价最透明的一家；档案未单列工时留痕）（B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7.14（财税背景厂商，口径为其主场；未称研发多口径报表）（B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部分支持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7.14（财税厂商背景，档案未明示直连能力）（B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公开信息未覆盖（不作主张）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对手公开信息未覆盖，暂不可判断优劣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7.14（档案未提）（B 级，2026-09-18）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7.14 / 8.1（1998 年起）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报告 8.1（待核）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★ 双方记录存在差异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pPr>
        <w:pStyle w:val="Heading2"/>
      </w:pPr>
      <w:r>
        <w:t>差异维度详解</w:t>
      </w:r>
    </w:p>
    <w:p>
      <w:pPr>
        <w:pStyle w:val="Heading3"/>
      </w:pPr>
      <w:r>
        <w:t>研发工时与人员管理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方欣九鸥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研发工时与人员管理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研发工时 过程留痕不可篡改：部分支持；研发人员全时 / 非全时认定与 50% 占比预警：公开信息未覆盖（不作主张）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 过程留痕不可篡改：支持；研发人员全时 / 非全时认定与 50% 占比预警：支持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依据：研发工时 过程留痕不可篡改：报告 7.14（报价最透明的一家；档案未单列工时留痕）（B 级，2026-09-18）；研发人员全时 / 非全时认定与 50% 占比预警：报告 7.14（档案未提）（B 级，2026-09-18）；我方值取 own.json</w:t>
      </w:r>
    </w:p>
    <w:p>
      <w:pPr>
        <w:pStyle w:val="Heading3"/>
      </w:pPr>
      <w:r>
        <w:t>研发费用归集与口径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功能点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方欣九鸥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研发费用归集与口径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多口径 （会计 / 高企 / 加计扣除）：部分支持；五维 / 多维穿透归集：公开信息未覆盖（不作主张）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 （会计 / 高企 / 加计扣除）：支持；五维 / 多维穿透归集：支持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对手为部分支持，我方覆盖更完整；客户应要求对手就缺口部分出具书面能力说明。</w:t>
            </w:r>
          </w:p>
        </w:tc>
      </w:tr>
    </w:tbl>
    <w:p/>
    <w:p>
      <w:r>
        <w:rPr>
          <w:color w:val="707070"/>
          <w:sz w:val="16"/>
        </w:rPr>
        <w:t>依据：多口径 （会计 / 高企 / 加计扣除）：报告 7.14（财税背景厂商，口径为其主场；未称研发多口径报表）（B 级，2026-09-18）；五维 / 多维穿透归集：报告 7.14（档案未提）（B 级，2026-09-18）；我方值取 own.json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方欣九鸥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部分支持（功能矩阵维度「多口径 （会计 / 高企 / 加计扣除）」，依据 报告 7.14（财税背景厂商，口径为其主场；未称研发多口径报表）（B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部分支持（功能矩阵维度「研发工时 过程留痕不可篡改」，依据 报告 7.14（报价最透明的一家；档案未单列工时留痕）（B 级，2026-09-18））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2"/>
      </w:pPr>
      <w:r>
        <w:t>4.2 对手强弱（据报告第七章深度档案，原样照录）</w:t>
      </w:r>
    </w:p>
    <w:p>
      <w:r>
        <w:t>其优势：价格透明且显著低于我方 → 客户会拿它压价 ；税务系统背景深；中介渠道覆盖广</w:t>
      </w:r>
    </w:p>
    <w:p>
      <w:r>
        <w:t>其劣势：官网无  IPO  问询实战案例； " 四流互证 " 是概念；中介渠道意味着 数据在服务商手上而非企业手上 （形态  9  的软肋）</w:t>
      </w:r>
    </w:p>
    <w:p>
      <w:r>
        <w:rPr>
          <w:color w:val="707070"/>
          <w:sz w:val="16"/>
        </w:rPr>
        <w:t>以上两段为第七章档案原文照录，未作优劣改写——优势照录，劣势也照录。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可考虑「方欣九鸥」的场景</w:t>
      </w:r>
    </w:p>
    <w:p>
      <w:pPr>
        <w:pStyle w:val="ListNumber"/>
      </w:pPr>
      <w:r>
        <w:t>渠道密度不及对手：对手分公司/合作机构数量远高于我方。单点深谈与深度交付是我方可守的场景，广撒网式覆盖不宜与对手正面竞争。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若客户最看重的是「研财税一体化智能合规， AI 智能体「 鸥小九 」；产品「 九鸥研管家 」」这一单项能力，且合规深度要求相对基础，可将 方欣九鸥 纳入比选（依据：其公开定位原文，报告附录一 #28；定位原文「研财税一体化智能合规， AI 智能体「鸥小九」；官网明码标价 —— 研管家专业版首年 ¥29,800 / 续费 ¥9,…」（B 级信源，2026-09-18）；报告第七章深度档案（B 级信源，2026-09-18）；报告附录一 #112；定位原文「面向科技服务机构 / 中介的私有化高企辅助申报系统 + 研发费用智能合规系统（区块链存证、三级预警）」（B 级信源，2026-09-18））。</w:t>
      </w:r>
    </w:p>
    <w:p>
      <w:pPr>
        <w:pStyle w:val="ListNumber"/>
      </w:pPr>
      <w:r>
        <w:t>若客户强依赖本地化或渠道资源（该竞品渠道：协会展会、渠道代理），对手在地推与服务可达性上更强。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