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反潜者 与独角鲸 · 研发费管理系统对比及选型建议</w:t>
      </w:r>
    </w:p>
    <w:p>
      <w:r>
        <w:rPr>
          <w:color w:val="707070"/>
          <w:sz w:val="18"/>
        </w:rPr>
        <w:t>竞品：反潜者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反潜者 与 独角鲸·研发费管理系统。对手公开定位为「金税四期下的研发费用合规治理平台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深纵横科技成果转化服务 ( 深圳 ) 有限公司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反潜者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深纵横集团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金税四期下的研发费用合规治理平台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对手定位为「金税四期下的研发费用合规治理平台」；我方聚焦研发投入合规交付链的责任层。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#13；定位原文「金税四期下的研发费用合规治理平台」（B 级信源，2026-09-18）；我方：own.json；对方：报告附录一 #13；定位原文「金税四期下的研发费用合规治理平台」（B 级信源，2026-09-18）；我方：own.json key_numbers；对方：报告附录一 #13；定位原文「金税四期下的研发费用合规治理平台」（B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反潜者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反潜者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可考虑「反潜者」的场景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若客户最看重的是「金税四期下的研发费用合规治理平台」这一单项能力，且合规深度要求相对基础，可将 反潜者 纳入比选（依据：其公开定位原文，报告附录一 #13；定位原文「金税四期下的研发费用合规治理平台」（B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