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合规研发小程序 与独角鲸 · 研发费管理系统对比及选型建议</w:t>
      </w:r>
    </w:p>
    <w:p>
      <w:r>
        <w:rPr>
          <w:color w:val="707070"/>
          <w:sz w:val="18"/>
        </w:rPr>
        <w:t>竞品：合规研发小程序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合规研发小程序 与 独角鲸·研发费管理系统。因该竞品公开信息有限（优先级 P3），本稿仅含基础对比，未对对手能力做推断性描述。见客户前请先补充核实。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山东；天桥区黄台国际电子商务产业园；成立列原文：「2015-06-23」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合规研发小程序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合规咨询有限公司（ 913701053072292050 ；括号内 " 山东 " 为真实登记形式 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财税咨询交付 + 集团自研 SaaS/ 小程序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对手定位为「财税咨询交付 + 集团自研 SaaS/ 小程序」；我方聚焦研发投入合规交付链的责任层。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#139；定位原文「财税咨询交付 + 集团自研 SaaS/ 小程序」（B 级信源，2026-09-18）；我方：own.json；对方：报告附录一 #139；定位原文「财税咨询交付 + 集团自研 SaaS/ 小程序」（B 级信源，2026-09-18）；我方：own.json key_numbers；对方：报告附录一 #139；定位原文「财税咨询交付 + 集团自研 SaaS/ 小程序」（B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