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金诚智研 与独角鲸 · 研发费管理系统对比及选型建议</w:t>
      </w:r>
    </w:p>
    <w:p>
      <w:r>
        <w:rPr>
          <w:color w:val="707070"/>
          <w:sz w:val="18"/>
        </w:rPr>
        <w:t>竞品：金诚智研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金诚智研 与 独角鲸·研发费管理系统。对手公开定位为「工时 + 成本核算，合同 - 项目全链路」；我方以三层护城河（数据层/口径层/责任层）与200+上市及拟IPO案例密度支撑合规结论。所有「我方更优」均附可核证依据；对手真实优势见第五部分第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成立列原文：「2021 （品牌源起 2013 ）」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金诚智研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深圳市金诚智研信息技术有限公司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工时 + 成本核算，合同 - 项目全链路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对手定位为「工时 + 成本核算，合同 - 项目全链路」；我方聚焦研发投入合规交付链的责任层。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民企中小企业盘 + 央企新材料样板；青岛华晟过会案例被反复引用（报告 7.3）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工时 + 成本核算，合同—项目全链路 ；青岛华晟过会案例被反复引用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#3；定位原文「工时 + 成本核算，合同 - 项目全链路」（B 级信源，2026-09-18）；报告第七章深度档案（B 级信源，2026-09-18）；我方：own.json；对方：报告附录一 #3；定位原文「工时 + 成本核算，合同 - 项目全链路」（B 级信源，2026-09-18）；报告第七章深度档案（B 级信源，2026-09-18）；我方：own.json key_numbers；对方：报告附录一 #3；定位原文「工时 + 成本核算，合同 - 项目全链路」（B 级信源，2026-09-18）；报告第七章深度档案（B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4 个维度双方记录一致（功能矩阵同为支持/同为部分支持/同为不支持），不构成差异化卖点，本文不将其列为「我方更优」；逐条详见附录 A。</w:t>
      </w:r>
    </w:p>
    <w:p>
      <w:r>
        <w:t>下表为 14 个功能维度的逐项对比（★ = 双方公开记录存在差异，共 7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金诚智研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双方均支持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2021 起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◐（297 份问询函分析 + 央企中标）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rPr>
          <w:color w:val="505050"/>
          <w:sz w:val="18"/>
        </w:rPr>
        <w:t>双方记录一致的模块（4 项，不作差异化主张）：研发工时与人员管理、研发费用归集与口径、合规与报表输出、证据链与备查。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金诚智研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支持（功能矩阵维度「多口径 （会计 / 高企 / 加计扣除）」）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支持（功能矩阵维度「研发工时 过程留痕不可篡改」）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支持（功能矩阵维度「证据链一键导出（问询可引用）」）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部分支持（功能矩阵维度「物料/样品/边角料冲减」）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2"/>
      </w:pPr>
      <w:r>
        <w:t>4.2 对手强弱（据报告第七章深度档案，原样照录）</w:t>
      </w:r>
    </w:p>
    <w:p>
      <w:r>
        <w:t>其优势：内容抢跑 （ 297  份问询函的量化分析，我方尚未公开发布同密度内容）；拿到央企实施记录</w:t>
      </w:r>
    </w:p>
    <w:p>
      <w:r>
        <w:t>其劣势：自述数据口径自相矛盾（ "500  家 " 与其软文 "1000  家 / 行业第一 " 冲突）；问询报告页面 多处标注"豆包 AI 生成" ；无标准化产品迭代记录</w:t>
      </w:r>
    </w:p>
    <w:p>
      <w:r>
        <w:rPr>
          <w:color w:val="707070"/>
          <w:sz w:val="16"/>
        </w:rPr>
        <w:t>以上两段为第七章档案原文照录，未作优劣改写——优势照录，劣势也照录。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可考虑「金诚智研」的场景</w:t>
      </w:r>
    </w:p>
    <w:p>
      <w:pPr>
        <w:pStyle w:val="ListNumber"/>
      </w:pPr>
      <w:r>
        <w:t>深圳本地三面贴身：对手母体客户池可直接转化、企服礼包引流、本地服务商密度高。我方在本地响应与客户池基础上不占优势，需以合规深度与案例密度建立差异。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若客户最看重的是「工时 + 成本核算，合同—项目全链路 ；青岛华晟过会案例被反复引用」这一单项能力，且合规深度要求相对基础，可将 金诚智研 纳入比选（依据：其公开定位原文，报告附录一 #3；定位原文「工时 + 成本核算，合同 - 项目全链路」（B 级信源，2026-09-18）；报告第七章深度档案（B 级信源，2026-09-18））。</w:t>
      </w:r>
    </w:p>
    <w:p>
      <w:pPr>
        <w:pStyle w:val="ListNumber"/>
      </w:pPr>
      <w:r>
        <w:t>若客户强依赖本地化或渠道资源（该竞品渠道：内容营销），对手在地推与服务可达性上更强。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