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集睿慧研通（慧研通研发合规智慧管理系统） 与独角鲸 · 研发费管理系统对比及选型建议</w:t>
      </w:r>
    </w:p>
    <w:p>
      <w:r>
        <w:rPr>
          <w:color w:val="707070"/>
          <w:sz w:val="18"/>
        </w:rPr>
        <w:t>竞品：集睿慧研通（慧研通研发合规智慧管理系统）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集睿慧研通（慧研通研发合规智慧管理系统） 与 独角鲸·研发费管理系统。对手公开定位为「研发合规数字化 ——AI Agent 实时守护研发合规， " 系统 + 服务 " 双轮」；我方以三层护城河（数据层/口径层/责任层）与200+上市及拟IPO案例密度支撑合规结论。所有「我方更优」均附可核证依据；对手真实优势见第五部分第 2 节。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品牌 " 集睿科技 "；黄埔区；成立列原文：「2015-06-24 （工商）；官网自述 " 公司 …」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集睿慧研通（慧研通研发合规智慧管理系统）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广州集睿慧研数字科技有限公司｜关联主体：广东集睿企业管理咨询有限公司（ 9…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研发合规数字化 ——AI Agent 实时守护研发合规， " 系统 + 服务 " 双轮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对手定位为「研发合规数字化 ——AI Agent 实时守护研发合规， " 系统 + 服务 " 双轮」；我方聚焦研发投入合规交付链的责任层。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#125；定位原文「研发合规数字化 ——AI Agent 实时守护研发合规， " 系统 + 服务 " 双轮」（B 级信源，2026-09-18）；我方：own.json；对方：报告附录一 #125；定位原文「研发合规数字化 ——AI Agent 实时守护研发合规， " 系统 + 服务 " 双轮」（B 级信源，2026-09-18）；我方：own.json key_numbers；对方：报告附录一 #125；定位原文「研发合规数字化 ——AI Agent 实时守护研发合规， " 系统 + 服务 " 双轮」（B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14 个维度尚未核查（标注「未获取」），均不作推断。</w:t>
      </w:r>
    </w:p>
    <w:p>
      <w:r>
        <w:t>下表为 14 个功能维度的逐项对比（★ = 双方公开记录存在差异，共 0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集睿慧研通（慧研通研发合规智慧管理系统）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r>
        <w:t>公开记录中未发现双方存在功能维度的实质差异；上表逐项列出双方取值，不作「我方更优」主张。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集睿慧研通（慧研通研发合规智慧管理系统）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p>
      <w:r>
        <w:rPr>
          <w:sz w:val="18"/>
        </w:rPr>
        <w:t>我方实施与服务标准：公有云（按账套）+ 私有化部署；标准实施周期 3 个月（调研—启动—上线）；按项目提供实施与培训；支持个性化定制，需评估对口径一致性的影响。</w:t>
      </w:r>
    </w:p>
    <w:p>
      <w:r>
        <w:rPr>
          <w:color w:val="505050"/>
          <w:sz w:val="18"/>
        </w:rPr>
        <w:t>对手侧实施与服务四项（部署方式 / 实施周期 / 培训与运维 / 个性化定制）未核查到公开记录，标注「未获取」，待商务环节向对手索取书面说明后补充；本节不作单方面优劣结论。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可考虑「集睿慧研通（慧研通研发合规智慧管理系统）」的场景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若客户最看重的是「研发合规数字化 ——AI Agent 实时守护研发合规， " 系统 + 服务 " 双轮」这一单项能力，且合规深度要求相对基础，可将 集睿慧研通（慧研通研发合规智慧管理系统） 纳入比选（依据：其公开定位原文，报告附录一 #125；定位原文「研发合规数字化 ——AI Agent 实时守护研发合规， " 系统 + 服务 " 双轮」（B 级信源，2026-09-18））。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