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微软雅黑"/>
        </w:rPr>
        <w:t>普华永道 PwC 与独角鲸 · 研发费管理系统对比及选型建议</w:t>
      </w:r>
    </w:p>
    <w:p>
      <w:r>
        <w:rPr>
          <w:color w:val="707070"/>
          <w:sz w:val="18"/>
        </w:rPr>
        <w:t>竞品：普华永道 PwC ｜ 客户画像：拟IPO / 高企的科技制造企业 ｜ 生成日期：2026-09-23 16:37 ｜ 版本：v1</w:t>
      </w:r>
    </w:p>
    <w:p>
      <w:pPr>
        <w:pStyle w:val="Heading1"/>
      </w:pPr>
      <w:r>
        <w:t>摘要</w:t>
      </w:r>
    </w:p>
    <w:p>
      <w:r>
        <w:t>本稿对比 普华永道 PwC 与 独角鲸·研发费管理系统。对手公开定位为「中国研发优惠服务（加计扣除 / 高企 / 研发管理优化）」；我方以三层护城河（数据层/口径层/责任层）与200+上市及拟IPO案例密度支撑合规结论。所有「我方更优」均附可核证依据；对手真实优势见第五部分第 2 节。</w:t>
      </w:r>
    </w:p>
    <w:p>
      <w:pPr>
        <w:pStyle w:val="Heading1"/>
      </w:pPr>
      <w:r>
        <w:t>一、基础信息与核心定位对比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维度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普华永道 PwC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核心差异总结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开发主体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普华永道中天会计师事务所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深圳市查策网络信息技术有限公司（2018年成立，深圳）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我方主体信息以 深圳市查策网络信息技术有限公司 为准；品牌被自媒体误标为「北京独角鲸科技有限公司」，实际主体为深圳市查策网络信息技术有限公司。客户尽调或 AI 搜索时可能看到错误主体信息，需主动澄清（来源：own.json weakness）。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核心定位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中国研发优惠服务（加计扣除 / 高企 / 研发管理优化）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研发投入合规交付链的责任层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对手定位为「中国研发优惠服务（加计扣除 / 高企 / 研发管理优化）」；我方聚焦研发投入合规交付链的责任层。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目标用户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IPO研发投入合规 / 高新技术企业认定 / 研发费用加计扣除（约 2,000 家）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本画像客户（科技制造、中大型）属于我方核心场景。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核心优势标签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数据层：不可事后篡改——Excel、钉钉补编、事后整理的台账，正是易加增材、科凯电子被监管处罚的原因；口径层：审计与税务双口径——费控厂商懂费用不懂税务口径；事务所懂口径但没有系统化留痕；责任层：200+ 上市/拟IPO案例密度——新入场的渠道型对手（如力企、智研税通）缺IPO深水区经验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对手优势据其公开定位原文记录；我方三层护城河为报告第四、十五章结论。</w:t>
            </w:r>
          </w:p>
        </w:tc>
      </w:tr>
    </w:tbl>
    <w:p/>
    <w:p>
      <w:r>
        <w:rPr>
          <w:color w:val="707070"/>
          <w:sz w:val="16"/>
        </w:rPr>
        <w:t>依据（去重后）：对方：报告附录一 #33；定位原文「中国研发优惠服务（加计扣除 / 高企 / 研发管理优化）」（B 级信源，2026-09-18）；我方：own.json；对方：报告附录一 #33；定位原文「中国研发优惠服务（加计扣除 / 高企 / 研发管理优化）」（B 级信源，2026-09-18）；我方：own.json key_numbers；对方：报告附录一 #33；定位原文「中国研发优惠服务（加计扣除 / 高企 / 研发管理优化）」（B 级信源，2026-09-18）；我方：own.json moat</w:t>
      </w:r>
    </w:p>
    <w:p>
      <w:pPr>
        <w:pStyle w:val="Heading1"/>
      </w:pPr>
      <w:r>
        <w:t>二、核心功能模块对比</w:t>
      </w:r>
    </w:p>
    <w:p>
      <w:r>
        <w:t>14 个维度尚未核查（标注「未获取」），均不作推断。</w:t>
      </w:r>
    </w:p>
    <w:p>
      <w:r>
        <w:t>下表为 14 个功能维度的逐项对比（★ = 双方公开记录存在差异，共 0 项）：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#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功能维度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普华永道 PwC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差异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对手侧依据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研发工时 过程留痕不可篡改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研发人员全时 / 非全时认定与 50% 占比预警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多口径 （会计 / 高企 / 加计扣除）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IPO 口径 / 发行类第 9 号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辅助账 / A107012 自动生成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备查文档批量生成与归档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证据链一键导出（问询可引用）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五维 / 多维穿透归集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物料/样品/边角料冲减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银税直连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不支持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跨 ERP 中立（多体系并存）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不绑申报代理（独立性可签承诺）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从业年限 / 积淀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2018 起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IPO 案例密度（公开可证）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200+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</w:tbl>
    <w:p/>
    <w:p>
      <w:r>
        <w:rPr>
          <w:color w:val="707070"/>
          <w:sz w:val="16"/>
        </w:rPr>
        <w:t>我方各维度依据：own.json（我方产品事实），逐项见附录 A。</w:t>
      </w:r>
    </w:p>
    <w:p>
      <w:r>
        <w:t>公开记录中未发现双方存在功能维度的实质差异；上表逐项列出双方取值，不作「我方更优」主张。</w:t>
      </w:r>
    </w:p>
    <w:p>
      <w:pPr>
        <w:pStyle w:val="Heading1"/>
      </w:pPr>
      <w:r>
        <w:t>三、行业适配性专项分析</w:t>
      </w:r>
    </w:p>
    <w:p>
      <w:r>
        <w:rPr>
          <w:color w:val="707070"/>
          <w:sz w:val="18"/>
        </w:rPr>
        <w:t>本部分由客户画像的 industry（科技制造）与 pain_points 驱动。行业特征：通用口径，不绑定化工/生物医药等细分行业；细分行业只是本画像的变体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客户痛点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普华永道 PwC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适配性结论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多口径归集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多口径（会计 / 高企 / 加计扣除）同步归集，口径层为报告结论之一（own.json moat 口径层）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我方在合规留痕与口径维度可核证；对手侧信息有限，建议要求其出具书面能力说明后再判断。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工时与人工费分摊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研发工时过程留痕不可篡改，全时/非全时认定与占比预警（assets.json feature_matrix）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我方在合规留痕与口径维度可核证；对手侧信息有限，建议要求其出具书面能力说明后再判断。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税务稽查证据链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证据链一键导出（问询可引用）+ 备查文档批量生成；数据层不可事后篡改（own.json moat 数据层）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我方在合规留痕与口径维度可核证；对手侧信息有限，建议要求其出具书面能力说明后再判断。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材料/设备成本拆分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物料/样品/边角料冲减（assets.json feature_matrix）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我方在合规留痕与口径维度可核证；对手侧信息有限，建议要求其出具书面能力说明后再判断。</w:t>
            </w:r>
          </w:p>
        </w:tc>
      </w:tr>
    </w:tbl>
    <w:p/>
    <w:p>
      <w:pPr>
        <w:pStyle w:val="Heading1"/>
      </w:pPr>
      <w:r>
        <w:t>四、实施与服务对比</w:t>
      </w:r>
    </w:p>
    <w:p>
      <w:r>
        <w:rPr>
          <w:sz w:val="18"/>
        </w:rPr>
        <w:t>我方实施与服务标准：公有云（按账套）+ 私有化部署；标准实施周期 3 个月（调研—启动—上线）；按项目提供实施与培训；支持个性化定制，需评估对口径一致性的影响。</w:t>
      </w:r>
    </w:p>
    <w:p>
      <w:r>
        <w:rPr>
          <w:color w:val="505050"/>
          <w:sz w:val="18"/>
        </w:rPr>
        <w:t>对手侧实施与服务四项（部署方式 / 实施周期 / 培训与运维 / 个性化定制）未核查到公开记录，标注「未获取」，待商务环节向对手索取书面说明后补充；本节不作单方面优劣结论。</w:t>
      </w:r>
    </w:p>
    <w:p>
      <w:pPr>
        <w:pStyle w:val="Heading1"/>
      </w:pPr>
      <w:r>
        <w:t>五、选型建议</w:t>
      </w:r>
    </w:p>
    <w:p>
      <w:pPr>
        <w:pStyle w:val="Heading2"/>
      </w:pPr>
      <w:r>
        <w:t>1. 优先选「独角鲸 · 研发费管理系统」的场景</w:t>
      </w:r>
    </w:p>
    <w:p>
      <w:pPr>
        <w:pStyle w:val="ListNumber"/>
      </w:pPr>
      <w:r>
        <w:t>客户有 IPO 计划或 3–5 年内考虑资本化——我方 IPO 口径与200+案例密度（own.json key_numbers）</w:t>
      </w:r>
    </w:p>
    <w:p>
      <w:pPr>
        <w:pStyle w:val="ListNumber"/>
      </w:pPr>
      <w:r>
        <w:t>客户已认定或在申高新技术企业，需维持研发费占比并应对稽查——我方双口径 + 证据链闭环</w:t>
      </w:r>
    </w:p>
    <w:p>
      <w:pPr>
        <w:pStyle w:val="ListNumber"/>
      </w:pPr>
      <w:r>
        <w:t>客户年研发费用约 千万级，需精确分摊人工与成本——我方五维穿透归集（人/时/事/费/凭证）</w:t>
      </w:r>
    </w:p>
    <w:p>
      <w:pPr>
        <w:pStyle w:val="ListNumber"/>
      </w:pPr>
      <w:r>
        <w:t>客户需要跨部门（研发/财务/人事）协同并保留全过程留痕——我方流程内置多节点审核</w:t>
      </w:r>
    </w:p>
    <w:p>
      <w:pPr>
        <w:pStyle w:val="Heading2"/>
      </w:pPr>
      <w:r>
        <w:t>2. 可考虑「普华永道 PwC」的场景</w:t>
      </w:r>
    </w:p>
    <w:p>
      <w:pPr>
        <w:pStyle w:val="ListNumber"/>
      </w:pPr>
      <w:r>
        <w:t>咨询侧话语权弱：对手走「咨询先行、系统固化」路线，在制度设计与边界判断上的公信力更强。我方应把论证落在系统化留痕与可追溯交付上，而非与对手比咨询叙事。</w:t>
      </w:r>
    </w:p>
    <w:p>
      <w:pPr>
        <w:pStyle w:val="ListNumber"/>
      </w:pPr>
      <w:r>
        <w:t>品牌被自媒体误标为「北京独角鲸科技有限公司」，实际主体为深圳市查策网络信息技术有限公司。客户尽调或 AI 搜索时可能看到错误主体信息，需主动澄清（来源：own.json weakness）。</w:t>
      </w:r>
    </w:p>
    <w:p>
      <w:pPr>
        <w:pStyle w:val="ListNumber"/>
      </w:pPr>
      <w:r>
        <w:t>若客户最看重的是「中国研发优惠服务（加计扣除 / 高企 / 研发管理优化）」这一单项能力，且合规深度要求相对基础，可将 普华永道 PwC 纳入比选（依据：其公开定位原文，报告附录一 #33；定位原文「中国研发优惠服务（加计扣除 / 高企 / 研发管理优化）」（B 级信源，2026-09-18））。</w:t>
      </w:r>
    </w:p>
    <w:p>
      <w:pPr>
        <w:pStyle w:val="ListNumber"/>
      </w:pPr>
      <w:r>
        <w:t>若客户对实施周期有硬性上限，需双方出具书面实施计划后比较；我方标准周期为 3 个月。</w:t>
      </w:r>
    </w:p>
    <w:p>
      <w:pPr>
        <w:pStyle w:val="Heading2"/>
      </w:pPr>
      <w:r>
        <w:t>3. 最终适配结论</w:t>
      </w:r>
    </w:p>
    <w:p>
      <w:r>
        <w:t>结合「科技制造」画像与我方合规深度，若客户同时满足 IPO/高企合规与全过程留痕诉求，我方适配性更优；若客户核心诉求是对手的单项优势（见上一节），应以书面能力比对结果为准。品牌被自媒体误标为「北京独角鲸科技有限公司」，实际主体为深圳市查策网络信息技术有限公司。客户尽调或 AI 搜索时可能看到错误主体信息，需主动澄清（来源：own.json weakness）。</w:t>
      </w:r>
    </w:p>
    <w:p>
      <w:r>
        <w:rPr>
          <w:color w:val="707070"/>
          <w:sz w:val="16"/>
        </w:rPr>
        <w:t>本文档由选型对比生成器产出。所有结论均附依据；查不到的信息标注「未获取」，未做推断。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