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企殿（中科为集团） 与独角鲸 · 研发费管理系统对比及选型建议</w:t>
      </w:r>
    </w:p>
    <w:p>
      <w:r>
        <w:rPr>
          <w:color w:val="707070"/>
          <w:sz w:val="18"/>
        </w:rPr>
        <w:t>竞品：企殿（中科为集团）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企殿（中科为集团） 与 独角鲸·研发费管理系统。对手公开定位为「审计 + 税务双重视角的全周期数字化存证平台」；我方以三层护城河（数据层/口径层/责任层）与200+上市及拟IPO案例密度支撑合规结论。所有「我方更优」均附可核证依据；对手真实优势见第五部分第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中科为集团旗下，中科为：深圳市中科为知识产权服务有限公司；成立列原文：「崎点 2018 / 中科为 2009」；合并「中科为」（深圳市中科为知识产权服务有限公司，深圳，成立 2009）：中科为并入企殿（中科为集团）；企殿本就是中科为集团旗下、目标客群即中科为高企申报存量客户池。其定位「企殿 + 高企服务， AI 高新智能体」。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企殿（中科为集团）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深圳崎点数据有限公司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审计 + 税务双重视角的全周期数字化存证平台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对手定位为「审计 + 税务双重视角的全周期数字化存证平台」；我方聚焦研发投入合规交付链的责任层。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中科为高企申报存量客户池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 审计 + 税务双重视角 的全周期数字化存证平台 " ；智能分类、自动台账、风险前置预警、全流程留痕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#7；定位原文「审计 + 税务双重视角的全周期数字化存证平台」（B 级信源，2026-09-18）；报告第七章深度档案（B 级信源，2026-09-18）；报告附录一 #24；定位原文「企殿 + 高企服务， AI 高新智能体」（B 级信源，2026-09-18）；我方：own.json；对方：报告附录一 #7；定位原文「审计 + 税务双重视角的全周期数字化存证平台」（B 级信源，2026-09-18）；报告第七章深度档案（B 级信源，2026-09-18）；报告附录一 #24；定位原文「企殿 + 高企服务， AI 高新智能体」（B 级信源，2026-09-18）；我方：own.json key_numbers；对方：报告附录一 #7；定位原文「审计 + 税务双重视角的全周期数字化存证平台」（B 级信源，2026-09-18）；报告第七章深度档案（B 级信源，2026-09-18）；报告附录一 #24；定位原文「企殿 + 高企服务， AI 高新智能体」（B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在 3 个维度上，双方公开记录存在差异（见下表，逐条附依据）。1 个维度双方记录一致（功能矩阵同为支持/同为部分支持/同为不支持），不构成差异化卖点，本文不将其列为「我方更优」；逐条详见附录 A。5 个维度对手侧公开信息未覆盖（不作主张），均不作推断。</w:t>
      </w:r>
    </w:p>
    <w:p>
      <w:r>
        <w:t>下表为 14 个功能维度的逐项对比（★ = 双方公开记录存在差异，共 7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企殿（中科为集团）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7.8「全流程留痕」（B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7.8（档案未提及全时/非全时认定）（B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7.8「审计+税务双重视角」+「自动台账」（口径并存但未称多口径报表自动生成）（B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7.8 劣势：缺少 200+ IPO 案例，档案未提 IPO 口径报表（B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7.8（档案未提辅助账/A107012）（B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7.8「全周期数字化存证平台」+「大模型自动生成立项报告/计划书」（B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7.8「全流程留痕」（有留痕，未称问询可引用导出）（B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7.8（档案未提穿透归集）（B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7.8（档案未提物料冲减）（B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7.8（档案未提银税直连）（B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7.8 劣势原文：缺少跨 ERP 中立性（B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7.8 原文：出题人与答题人是同一家 —— 不签独立性承诺书（B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7.8（深圳崎点数据 2018 年；母体中科为 2009 年）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7.8（缺少 200+ IPO 案例；母体为首批国家高企认定代理机构）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2"/>
      </w:pPr>
      <w:r>
        <w:t>差异维度详解</w:t>
      </w:r>
    </w:p>
    <w:p>
      <w:pPr>
        <w:pStyle w:val="Heading3"/>
      </w:pPr>
      <w:r>
        <w:t>研发费用归集与口径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企殿（中科为集团）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研发费用归集与口径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多口径 （会计 / 高企 / 加计扣除）：部分支持；五维 / 多维穿透归集：公开信息未覆盖（不作主张）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 （会计 / 高企 / 加计扣除）：支持；五维 / 多维穿透归集：支持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依据：多口径 （会计 / 高企 / 加计扣除）：报告 7.8「审计+税务双重视角」+「自动台账」（口径并存但未称多口径报表自动生成）（B 级，2026-09-18）；五维 / 多维穿透归集：报告 7.8（档案未提穿透归集）（B 级，2026-09-18）；我方值取 own.json</w:t>
      </w:r>
    </w:p>
    <w:p>
      <w:pPr>
        <w:pStyle w:val="Heading3"/>
      </w:pPr>
      <w:r>
        <w:t>合规与报表输出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企殿（中科为集团）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合规与报表输出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IPO 口径 / 发行类第 9 号：不支持；辅助账 / A107012 自动生成：公开信息未覆盖（不作主张）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 口径 / 发行类第 9 号：支持；辅助账 / A107012 自动生成：支持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对手未覆盖该模块，我方支持；若该模块是客户刚需，可作为主要区分点。</w:t>
            </w:r>
          </w:p>
        </w:tc>
      </w:tr>
    </w:tbl>
    <w:p/>
    <w:p>
      <w:r>
        <w:rPr>
          <w:color w:val="707070"/>
          <w:sz w:val="16"/>
        </w:rPr>
        <w:t>依据：IPO 口径 / 发行类第 9 号：报告 7.8 劣势：缺少 200+ IPO 案例，档案未提 IPO 口径报表（B 级，2026-09-18）；辅助账 / A107012 自动生成：报告 7.8（档案未提辅助账/A107012）（B 级，2026-09-18）；我方值取 own.json</w:t>
      </w:r>
    </w:p>
    <w:p>
      <w:pPr>
        <w:pStyle w:val="Heading3"/>
      </w:pPr>
      <w:r>
        <w:t>证据链与备查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企殿（中科为集团）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证据链与备查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证据链一键导出（问询可引用）：部分支持；备查文档批量生成与归档：支持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证据链一键导出（问询可引用）：支持；备查文档批量生成与归档：支持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依据：证据链一键导出（问询可引用）：报告 7.8「全流程留痕」（有留痕，未称问询可引用导出）（B 级，2026-09-18）；备查文档批量生成与归档：报告 7.8「全周期数字化存证平台」+「大模型自动生成立项报告/计划书」（B 级，2026-09-18）；我方值取 own.json</w:t>
      </w:r>
    </w:p>
    <w:p>
      <w:r>
        <w:rPr>
          <w:color w:val="505050"/>
          <w:sz w:val="18"/>
        </w:rPr>
        <w:t>双方记录一致的模块（1 项，不作差异化主张）：研发工时与人员管理。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企殿（中科为集团）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部分支持（功能矩阵维度「多口径 （会计 / 高企 / 加计扣除）」，依据 报告 7.8「审计+税务双重视角」+「自动台账」（口径并存但未称多口径报表自动生成）（B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支持（功能矩阵维度「研发工时 过程留痕不可篡改」，依据 报告 7.8「全流程留痕」（B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部分支持（功能矩阵维度「证据链一键导出（问询可引用）」，依据 报告 7.8「全流程留痕」（有留痕，未称问询可引用导出）（B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企殿（中科为集团）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部署方式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平台 + 智能体（母公司可免费送系统）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公有云（按账套）+ 私有化部署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对手侧公开记录：平台 + 智能体（母公司可免费送系统）。我方口径：公有云（按账套）+ 私有化部署。差异需按具体项目核实，不作单方面优劣结论。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实施周期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标准实施周期 3 个月（调研—启动—上线）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对手侧未核查到公开信息，不作对比；我方口径：参考文档口径，需按项目复核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培训与运维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按项目提供实施与培训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对手侧未核查到公开信息，不作对比；我方口径：未获取到公开明细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个性化定制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支持，需评估对口径一致性的影响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对手侧未核查到公开信息，不作对比；我方口径：未获取到公开明细</w:t>
            </w:r>
          </w:p>
        </w:tc>
      </w:tr>
    </w:tbl>
    <w:p/>
    <w:p>
      <w:pPr>
        <w:pStyle w:val="Heading2"/>
      </w:pPr>
      <w:r>
        <w:t>4.2 对手强弱（据报告第七章深度档案，原样照录）</w:t>
      </w:r>
    </w:p>
    <w:p>
      <w:r>
        <w:t>其优势：母体客户池直接转化 + 免费送系统 + 学术背书 + 国家级展会舞台 ；不靠软件收入生存， 不背业绩压力</w:t>
      </w:r>
    </w:p>
    <w:p>
      <w:r>
        <w:t>其劣势：出题人与答题人是同一家 —— 不签独立性承诺书；产品是 " 存证平台  +  智能体 " ，缺少跨  ERP  中立性与  200+ IPO  案例</w:t>
      </w:r>
    </w:p>
    <w:p>
      <w:r>
        <w:rPr>
          <w:color w:val="707070"/>
          <w:sz w:val="16"/>
        </w:rPr>
        <w:t>以上两段为第七章档案原文照录，未作优劣改写——优势照录，劣势也照录。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可考虑「企殿（中科为集团）」的场景</w:t>
      </w:r>
    </w:p>
    <w:p>
      <w:pPr>
        <w:pStyle w:val="ListNumber"/>
      </w:pPr>
      <w:r>
        <w:t>咨询侧话语权弱：对手走「咨询先行、系统固化」路线，在制度设计与边界判断上的公信力更强。我方应把论证落在系统化留痕与可追溯交付上，而非与对手比咨询叙事。</w:t>
      </w:r>
    </w:p>
    <w:p>
      <w:pPr>
        <w:pStyle w:val="ListNumber"/>
      </w:pPr>
      <w:r>
        <w:t>深圳本地三面贴身：对手母体客户池可直接转化、企服礼包引流、本地服务商密度高。我方在本地响应与客户池基础上不占优势，需以合规深度与案例密度建立差异。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若客户最看重的是「" 审计 + 税务双重视角 的全周期数字化存证平台 " ；智能分类、自动台账、风险前置预警、全流程留痕」这一单项能力，且合规深度要求相对基础，可将 企殿（中科为集团） 纳入比选（依据：其公开定位原文，报告附录一 #7；定位原文「审计 + 税务双重视角的全周期数字化存证平台」（B 级信源，2026-09-18）；报告第七章深度档案（B 级信源，2026-09-18）；报告附录一 #24；定位原文「企殿 + 高企服务， AI 高新智能体」（B 级信源，2026-09-18））。</w:t>
      </w:r>
    </w:p>
    <w:p>
      <w:pPr>
        <w:pStyle w:val="ListNumber"/>
      </w:pPr>
      <w:r>
        <w:t>若客户强依赖本地化或渠道资源（该竞品渠道：政府园区、协会展会），对手在地推与服务可达性上更强。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