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区域长尾研发费厂商（华北·税务加计与工时） 与独角鲸 · 研发费管理系统对比及选型建议</w:t>
      </w:r>
    </w:p>
    <w:p>
      <w:r>
        <w:rPr>
          <w:color w:val="707070"/>
          <w:sz w:val="18"/>
        </w:rPr>
        <w:t>竞品：区域长尾研发费厂商（华北·税务加计与工时）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区域长尾研发费厂商（华北·税务加计与工时）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税通研发费用管理系统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区域长尾研发费厂商（华北·税务加计与工时）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北京国科税通科技发展有限公司 / 北京智研科信科技有限公司 / 北京京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加计扣除规则库与智能分摊，或以工时、考勤切入研发合规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对手定位为「加计扣除规则库与智能分摊，或以工时、考勤切入研发合规」；我方聚焦研发投入合规交付链的责任层。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#91；定位原文「加计扣除规则库与智能分摊，或以工时、考勤切入研发合规」（B 级信源，2026-09-18）；我方：own.json；对方：报告附录一 #91；定位原文「加计扣除规则库与智能分摊，或以工时、考勤切入研发合规」（B 级信源，2026-09-18）；我方：own.json key_numbers；对方：报告附录一 #91；定位原文「加计扣除规则库与智能分摊，或以工时、考勤切入研发合规」（B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