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容诚 / 立信 / 天健 与独角鲸 · 研发费管理系统对比及选型建议</w:t>
      </w:r>
    </w:p>
    <w:p>
      <w:r>
        <w:rPr>
          <w:color w:val="707070"/>
          <w:sz w:val="18"/>
        </w:rPr>
        <w:t>竞品：容诚 / 立信 / 天健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容诚 / 立信 / 天健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容诚 / 立信 / 天健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容诚会计师事务所 / 立信会计师事务所 / 天健会计师事务所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用专业内容获客（如容诚《 IPO 成功密码！研发认定新规详解》） + 承接内控搭建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对手定位为「用专业内容获客（如容诚《 IPO 成功密码！研发认定新规详解》） + 承接内控搭建」；我方聚焦研发投入合规交付链的责任层。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#63；定位原文「用专业内容获客（如容诚《 IPO 成功密码！研发认定新规详解》） + 承接内控搭建」（B 级信源，2026-09-18）；我方：own.json；对方：报告附录一 #63；定位原文「用专业内容获客（如容诚《 IPO 成功密码！研发认定新规详解》） + 承接内控搭建」（B 级信源，2026-09-18）；我方：own.json key_numbers；对方：报告附录一 #63；定位原文「用专业内容获客（如容诚《 IPO 成功密码！研发认定新规详解》） + 承接内控搭建」（B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