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泰克思 与独角鲸 · 研发费管理系统对比及选型建议</w:t>
      </w:r>
    </w:p>
    <w:p>
      <w:r>
        <w:rPr>
          <w:color w:val="707070"/>
          <w:sz w:val="18"/>
        </w:rPr>
        <w:t>竞品：泰克思 ｜ 客户画像：拟IPO / 高企的科技制造企业 ｜ 生成日期：2026-09-23 16:37 ｜ 版本：v1 ｜ 最后编辑：张三 2026-09-21 15:00</w:t>
      </w:r>
    </w:p>
    <w:p>
      <w:pPr>
        <w:pStyle w:val="Heading1"/>
      </w:pPr>
      <w:r>
        <w:t>摘要</w:t>
      </w:r>
    </w:p>
    <w:p>
      <w:r>
        <w:t>【人工改写】这是销售手动写的一句话。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关联：众鑫云税务师事务所、南京明欣投顾；深圳南山飞亚达科技大厦设点；合并「明欣咨询」（南京明欣投资顾问有限公司，南京，成立 2021）：明欣咨询并入泰克思；明欣为泰克思关联投顾（note 已列：众鑫云税务师所、南京明欣投顾）。其定位「IPO 研发内控深度咨询」。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泰克思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泰克思 ( 南京 ) 信息科技有限公司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IPO+ 加计合规， " 咨询先行、系统固化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对手定位为「IPO+ 加计合规， " 咨询先行、系统固化 "」；我方聚焦研发投入合规交付链的责任层。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拟 IPO 高企、需边界判断的复杂主体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+ 加计扣除合规系统， " 咨询先行、系统固化 " ； 物料冲减 为差异化功能点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#1；定位原文「IPO+ 加计合规， " 咨询先行、系统固化 "」（B 级信源，2026-09-18）；报告第七章深度档案（B 级信源，2026-09-18）；报告附录一 #16；定位原文「IPO 研发内控深度咨询」（B 级信源，2026-09-18）；我方：own.json；对方：报告附录一 #1；定位原文「IPO+ 加计合规， " 咨询先行、系统固化 "」（B 级信源，2026-09-18）；报告第七章深度档案（B 级信源，2026-09-18）；报告附录一 #16；定位原文「IPO 研发内控深度咨询」（B 级信源，2026-09-18）；我方：own.json key_numbers；对方：报告附录一 #1；定位原文「IPO+ 加计合规， " 咨询先行、系统固化 "」（B 级信源，2026-09-18）；报告第七章深度档案（B 级信源，2026-09-18）；报告附录一 #16；定位原文「IPO 研发内控深度咨询」（B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4 个维度双方记录一致（功能矩阵同为支持/同为部分支持/同为不支持），不构成差异化卖点，本文不将其列为「我方更优」；逐条详见附录 A。</w:t>
      </w:r>
    </w:p>
    <w:p>
      <w:r>
        <w:t>下表为 14 个功能维度的逐项对比（★ = 双方公开记录存在差异，共 5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泰克思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2019 起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待核（有莫森泰克过会关联）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rPr>
          <w:color w:val="505050"/>
          <w:sz w:val="18"/>
        </w:rPr>
        <w:t>双方记录一致的模块（4 项，不作差异化主张）：研发工时与人员管理、研发费用归集与口径、合规与报表输出、证据链与备查。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泰克思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支持（功能矩阵维度「多口径 （会计 / 高企 / 加计扣除）」）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支持（功能矩阵维度「证据链一键导出（问询可引用）」）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支持（功能矩阵维度「物料/样品/边角料冲减」）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其优势：咨询侧话语权强 （我方  weakness  第一条）；持牌税务师所  +  投顾牌照的资质组合我方不具备；训练营模式可低成本批量获取合作伙伴</w:t>
      </w:r>
    </w:p>
    <w:p>
      <w:r>
        <w:t>其劣势：系统能力偏 " 固化 " 而非 " 平台 " ；无公开的标准化产品迭代记录；对我方  200+  案例密度无法正面比较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可考虑「泰克思」的场景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若客户最看重的是「IPO + 加计扣除合规系统， " 咨询先行、系统固化 " ； 物料冲减 为差异化功能点」这一单项能力，且合规深度要求相对基础，可将 泰克思 纳入比选（依据：其公开定位原文，报告附录一 #1；定位原文「IPO+ 加计合规， " 咨询先行、系统固化 "」（B 级信源，2026-09-18）；报告第七章深度档案（B 级信源，2026-09-18）；报告附录一 #16；定位原文「IPO 研发内控深度咨询」（B 级信源，2026-09-18））。</w:t>
      </w:r>
    </w:p>
    <w:p>
      <w:pPr>
        <w:pStyle w:val="ListNumber"/>
      </w:pPr>
      <w:r>
        <w:t>若客户强依赖本地化或渠道资源（该竞品渠道：咨询导流），对手在地推与服务可达性上更强。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