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腾科 RD-ERP 与独角鲸 · 研发费管理系统对比及选型建议</w:t>
      </w:r>
    </w:p>
    <w:p>
      <w:r>
        <w:rPr>
          <w:color w:val="707070"/>
          <w:sz w:val="18"/>
        </w:rPr>
        <w:t>竞品：腾科 RD-ERP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腾科 RD-ERP 与 独角鲸·研发费管理系统。对手公开定位为「研发创新体系标准化 + RD-ERP + AI Agent」；我方以三层护城河（数据层/口径层/责任层）与200+上市及拟IPO案例密度支撑合规结论。所有「我方更优」均附可核证依据；对手真实优势见第五部分第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集团总部北京亦庄， 31 家分公司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腾科 RD-ERP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广州市腾科信息科技有限公司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研发创新体系标准化 + RD-ERP + AI Agent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对手定位为「研发创新体系标准化 + RD-ERP + AI Agent」；我方聚焦研发投入合规交付链的责任层。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#14；定位原文「研发创新体系标准化 + RD-ERP + AI Agent」（B 级信源，2026-09-18）；我方：own.json；对方：报告附录一 #14；定位原文「研发创新体系标准化 + RD-ERP + AI Agent」（B 级信源，2026-09-18）；我方：own.json key_numbers；对方：报告附录一 #14；定位原文「研发创新体系标准化 + RD-ERP + AI Agent」（B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14 个维度尚未核查（标注「未获取」），均不作推断。</w:t>
      </w:r>
    </w:p>
    <w:p>
      <w:r>
        <w:t>下表为 14 个功能维度的逐项对比（★ = 双方公开记录存在差异，共 0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腾科 RD-ERP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r>
        <w:t>公开记录中未发现双方存在功能维度的实质差异；上表逐项列出双方取值，不作「我方更优」主张。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腾科 RD-ERP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可考虑「腾科 RD-ERP」的场景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若客户最看重的是「研发创新体系标准化 + RD-ERP + AI Agent」这一单项能力，且合规深度要求相对基础，可将 腾科 RD-ERP 纳入比选（依据：其公开定位原文，报告附录一 #14；定位原文「研发创新体系标准化 + RD-ERP + AI Agent」（B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