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维拉工时 与独角鲸 · 研发费管理系统对比及选型建议</w:t>
      </w:r>
    </w:p>
    <w:p>
      <w:r>
        <w:rPr>
          <w:color w:val="707070"/>
          <w:sz w:val="18"/>
        </w:rPr>
        <w:t>竞品：维拉工时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维拉工时 与 独角鲸·研发费管理系统。对手公开定位为「IPO 研发工时合规」；我方以三层护城河（数据层/口径层/责任层）与200+上市及拟IPO案例密度支撑合规结论。所有「我方更优」均附可核证依据；对手真实优势见第五部分第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vividlog.com；成立列原文：「约 2022 （产品上线）」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维拉工时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维拉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研发工时合规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对手定位为「IPO 研发工时合规」；我方聚焦研发投入合规交付链的责任层。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研发工时合规 ； 工时证据链 为核心卖点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#6；定位原文「IPO 研发工时合规」（B 级信源，2026-09-18）；报告第七章深度档案（B 级信源，2026-09-18）；我方：own.json；对方：报告附录一 #6；定位原文「IPO 研发工时合规」（B 级信源，2026-09-18）；报告第七章深度档案（B 级信源，2026-09-18）；我方：own.json key_numbers；对方：报告附录一 #6；定位原文「IPO 研发工时合规」（B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2 个维度上，双方公开记录存在差异（见下表，逐条附依据）。2 个维度双方记录一致（功能矩阵同为支持/同为部分支持/同为不支持），不构成差异化卖点，本文不将其列为「我方更优」；逐条详见附录 A。</w:t>
      </w:r>
    </w:p>
    <w:p>
      <w:r>
        <w:t>下表为 14 个功能维度的逐项对比（★ = 双方公开记录存在差异，共 9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维拉工时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约 2022 起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待核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维拉工时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多维穿透归集：不支持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依据：assets.json feature_matrix（对方 weila）；我方值取 own.json</w:t>
      </w:r>
    </w:p>
    <w:p>
      <w:pPr>
        <w:pStyle w:val="Heading3"/>
      </w:pPr>
      <w:r>
        <w:t>证据链与备查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维拉工时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证据链与备查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证据链一键导出（问询可引用）：部分支持；备查文档批量生成与归档：部分支持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证据链一键导出（问询可引用）：支持；备查文档批量生成与归档：支持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505050"/>
          <w:sz w:val="18"/>
        </w:rPr>
        <w:t>双方记录一致的模块（2 项，不作差异化主张）：研发工时与人员管理、合规与报表输出。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维拉工时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部分支持（功能矩阵维度「证据链一键导出（问询可引用）」）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不支持（功能矩阵维度「物料/样品/边角料冲减」）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维拉工时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部署方式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全国 SaaS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公有云（按账套）+ 私有化部署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对手侧公开记录：全国 SaaS。我方口径：公有云（按账套）+ 私有化部署。差异需按具体项目核实，不作单方面优劣结论。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实施周期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标准实施周期 3 个月（调研—启动—上线）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对手侧未核查到公开信息，不作对比；我方口径：参考文档口径，需按项目复核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培训与运维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按项目提供实施与培训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对手侧未核查到公开信息，不作对比；我方口径：未获取到公开明细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个性化定制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支持，需评估对口径一致性的影响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对手侧未核查到公开信息，不作对比；我方口径：未获取到公开明细</w:t>
            </w:r>
          </w:p>
        </w:tc>
      </w:tr>
    </w:tbl>
    <w:p/>
    <w:p>
      <w:pPr>
        <w:pStyle w:val="Heading2"/>
      </w:pPr>
      <w:r>
        <w:t>4.2 对手强弱（据报告第七章深度档案，原样照录）</w:t>
      </w:r>
    </w:p>
    <w:p>
      <w:r>
        <w:t>其优势：飞书生态分发能力；工时产品体验与轻量化做得好</w:t>
      </w:r>
    </w:p>
    <w:p>
      <w:r>
        <w:t>其劣势：单一工时切入， 费用归集与多口径出表能力弱于我方 ；无案例密度公开证据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可考虑「维拉工时」的场景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若客户最看重的是「IPO 研发工时合规 ； 工时证据链 为核心卖点」这一单项能力，且合规深度要求相对基础，可将 维拉工时 纳入比选（依据：其公开定位原文，报告附录一 #6；定位原文「IPO 研发工时合规」（B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若客户强依赖本地化或渠道资源（该竞品渠道：生态分发），对手在地推与服务可达性上更强。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