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悟空财税 与独角鲸 · 研发费管理系统对比及选型建议</w:t>
      </w:r>
    </w:p>
    <w:p>
      <w:r>
        <w:rPr>
          <w:color w:val="707070"/>
          <w:sz w:val="18"/>
        </w:rPr>
        <w:t>竞品：悟空财税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悟空财税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悟空财税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悟空财税服务有限公司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代理记账 + 工商 + 知产 + 法律 + 用工五大合规，含高企认定与税务筹划服务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对手定位为「代理记账 + 工商 + 知产 + 法律 + 用工五大合规，含高企认定与税务筹划服务」；我方聚焦研发投入合规交付链的责任层。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#118；定位原文「代理记账 + 工商 + 知产 + 法律 + 用工五大合规，含高企认定与税务筹划服务」（B 级信源，2026-09-18）；我方：own.json；对方：报告附录一 #118；定位原文「代理记账 + 工商 + 知产 + 法律 + 用工五大合规，含高企认定与税务筹划服务」（B 级信源，2026-09-18）；我方：own.json key_numbers；对方：报告附录一 #118；定位原文「代理记账 + 工商 + 知产 + 法律 + 用工五大合规，含高企认定与税务筹划服务」（B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