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新链云 AInnex 与独角鲸 · 研发费管理系统对比及选型建议</w:t>
      </w:r>
    </w:p>
    <w:p>
      <w:r>
        <w:rPr>
          <w:color w:val="707070"/>
          <w:sz w:val="18"/>
        </w:rPr>
        <w:t>竞品：新链云 AInnex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新链云 AInnex 与 独角鲸·研发费管理系统。对手公开定位为「研发全生命周期管理平台，立项 - 工时 - 费用归集 - 证据链 - 政策申报一体化，主打 " 管理 + 技术 + 财务 + 政策 " 四维」；我方以三层护城河（数据层/口径层/责任层）与200+上市及拟IPO案例密度支撑合规结论。所有「我方更优」均附可核证依据；对手真实优势见第五部分第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91440300723018271U；深汕特别合作区注册，罗湖办公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新链云 AInnex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深圳市维度数据科技股份有限公司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研发全生命周期管理平台，立项 - 工时 - 费用归集 - 证据链 - 政策申报一体化，主打 " 管理 + 技术 + 财务 + 政策 " 四维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对手定位为「研发全生命周期管理平台，立项 - 工时 - 费用归集 - 证据链 - 政策申报一体化，主打 " 管理 + 技术 + 财务 + 政策 " 四维」；我方聚焦研发投入合规交付链的责任层。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政府 / 园区（培训与鉴定）、央企总部（研发统计核算）、企业侧（配套系统）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主打 " 管理+技术+财务+政策 " 四维； 主讲内容逐项覆盖辅助账设置、研发人员工时分摊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#93；定位原文「研发全生命周期管理平台，立项 - 工时 - 费用归集 - 证据链 - 政策申报一体化，主打 " 管理 + 技术 + 财务 + 政策 " 四维」（B 级信源，2026-09-18）；报告第七章深度档案（B 级信源，2026-09-18）；我方：own.json；对方：报告附录一 #93；定位原文「研发全生命周期管理平台，立项 - 工时 - 费用归集 - 证据链 - 政策申报一体化，主打 " 管理 + 技术 + 财务 + 政策 " 四维」（B 级信源，2026-09-18）；报告第七章深度档案（B 级信源，2026-09-18）；我方：own.json key_numbers；对方：报告附录一 #93；定位原文「研发全生命周期管理平台，立项 - 工时 - 费用归集 - 证据链 - 政策申报一体化，主打 " 管理 + 技术 + 财务 + 政策 " 四维」（B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1 个维度上，双方公开记录存在差异（见下表，逐条附依据）。3 个维度双方记录一致（功能矩阵同为支持/同为部分支持/同为不支持），不构成差异化卖点，本文不将其列为「我方更优」；逐条详见附录 A。5 个维度对手侧公开信息未覆盖（不作主张），均不作推断。</w:t>
      </w:r>
    </w:p>
    <w:p>
      <w:r>
        <w:t>下表为 14 个功能维度的逐项对比（★ = 双方公开记录存在差异，共 5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新链云 AInnex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7.2「立项—工时—费用归集—证据链—政策申报一体化」（证据链在其产品功能内）（B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7.2，该维度无描述（B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7.2 主打「管理+技术+财务+政策」四维；主讲内容逐项覆盖辅助账设置、研发人员工时分摊（B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7.2 定位为政府/园区研发投入统计核算与技术鉴定支撑，未涉 IPO 口径（B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7.2「辅助账设置」为培训讲授内容，未称自动生成（B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7.2，该维度无描述（B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7.2「证据链」列为其产品功能模块之一（B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7.2，该维度无描述（B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7.2，该维度无描述（B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7.2，该维度无描述（B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7.2 客户分区含企业侧配套系统，并承接央企研发统计核算，不绑定单一申报代理（B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7.2 承办区级科工信局加计扣除培训并附自家品牌文案，身份为政策承办方（B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2000 年起（母公司）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7.2 所属公司：深圳市维度数据科技股份有限公司，2000 年成立（B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非 IPO 客群（政企/央企）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7.2 客户分区：政府/园区、央企总部、企业侧；中标南方电网研发投入统计复核（B 级，2026-09-23）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合规与报表输出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新链云 AInnex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合规与报表输出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口径 / 发行类第 9 号：不支持；辅助账 / A107012 自动生成：部分支持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 口径 / 发行类第 9 号：支持；辅助账 / A107012 自动生成：支持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对手未覆盖该模块，我方支持；若该模块是客户刚需，可作为主要区分点。</w:t>
            </w:r>
          </w:p>
        </w:tc>
      </w:tr>
    </w:tbl>
    <w:p/>
    <w:p>
      <w:r>
        <w:rPr>
          <w:color w:val="707070"/>
          <w:sz w:val="16"/>
        </w:rPr>
        <w:t>依据：IPO 口径 / 发行类第 9 号：7.2 定位为政府/园区研发投入统计核算与技术鉴定支撑，未涉 IPO 口径（B 级，2026-09-23）；辅助账 / A107012 自动生成：7.2「辅助账设置」为培训讲授内容，未称自动生成（B 级，2026-09-23）；我方值取 own.json</w:t>
      </w:r>
    </w:p>
    <w:p>
      <w:r>
        <w:rPr>
          <w:color w:val="505050"/>
          <w:sz w:val="18"/>
        </w:rPr>
        <w:t>双方记录一致的模块（3 项，不作差异化主张）：研发工时与人员管理、研发费用归集与口径、证据链与备查。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新链云 AInnex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支持（功能矩阵维度「多口径 （会计 / 高企 / 加计扣除）」，依据 7.2 主打「管理+技术+财务+政策」四维；主讲内容逐项覆盖辅助账设置、研发人员工时分摊（B 级，2026-09-23））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支持（功能矩阵维度「研发工时 过程留痕不可篡改」，依据 7.2「立项—工时—费用归集—证据链—政策申报一体化」（证据链在其产品功能内）（B 级，2026-09-23））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支持（功能矩阵维度「证据链一键导出（问询可引用）」，依据 7.2「证据链」列为其产品功能模块之一（B 级，2026-09-23））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新链云 AInnex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部署方式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全国 SaaS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公有云（按账套）+ 私有化部署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对手侧公开记录：全国 SaaS。我方口径：公有云（按账套）+ 私有化部署。差异需按具体项目核实，不作单方面优劣结论。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实施周期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标准实施周期 3 个月（调研—启动—上线）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对手侧未核查到公开信息，不作对比；我方口径：参考文档口径，需按项目复核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培训与运维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按项目提供实施与培训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对手侧未核查到公开信息，不作对比；我方口径：未获取到公开明细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个性化定制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支持，需评估对口径一致性的影响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对手侧未核查到公开信息，不作对比；我方口径：未获取到公开明细</w:t>
            </w:r>
          </w:p>
        </w:tc>
      </w:tr>
    </w:tbl>
    <w:p/>
    <w:p>
      <w:pPr>
        <w:pStyle w:val="Heading2"/>
      </w:pPr>
      <w:r>
        <w:t>4.2 对手强弱（据报告第七章深度档案，原样照录）</w:t>
      </w:r>
    </w:p>
    <w:p>
      <w:r>
        <w:t>其优势：零获客成本的官方场景 + 身份信任状 ；已把 " 研发统计核算 " 卖给央企总部</w:t>
      </w:r>
    </w:p>
    <w:p>
      <w:r>
        <w:t>其劣势：产品迭代与官网不可达  →  交付能力与产品成熟度存疑 ； 身份冲突 （既参与技术鉴定口径、又卖配套系统）是不敢正面回答的问题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可考虑「新链云 AInnex」的场景</w:t>
      </w:r>
    </w:p>
    <w:p>
      <w:pPr>
        <w:pStyle w:val="ListNumber"/>
      </w:pPr>
      <w:r>
        <w:t>深圳本地三面贴身：对手母体客户池可直接转化、企服礼包引流、本地服务商密度高。我方在本地响应与客户池基础上不占优势，需以合规深度与案例密度建立差异。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若客户最看重的是「主打 " 管理+技术+财务+政策 " 四维； 主讲内容逐项覆盖辅助账设置、研发人员工时分摊」这一单项能力，且合规深度要求相对基础，可将 新链云 AInnex 纳入比选（依据：其公开定位原文，报告附录一 #93；定位原文「研发全生命周期管理平台，立项 - 工时 - 费用归集 - 证据链 - 政策申报一体化，主打 " 管理 + 技术 + 财务 + 政策 " 四维」（B 级信源，2026-09-18）；报告第七章深度档案（B 级信源，2026-09-18））。</w:t>
      </w:r>
    </w:p>
    <w:p>
      <w:pPr>
        <w:pStyle w:val="ListNumber"/>
      </w:pPr>
      <w:r>
        <w:t>若客户强依赖本地化或渠道资源（该竞品渠道：政府园区），对手在地推与服务可达性上更强。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