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信研宝 与独角鲸 · 研发费管理系统对比及选型建议</w:t>
      </w:r>
    </w:p>
    <w:p>
      <w:r>
        <w:rPr>
          <w:color w:val="707070"/>
          <w:sz w:val="18"/>
        </w:rPr>
        <w:t>竞品：信研宝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信研宝 与 独角鲸·研发费管理系统。对手公开定位为「研发费加计扣除智能化产品，依托立信审计 / 税务全国网络做背书，属立信 " 税务 " 板块的信息化载体」；我方以三层护城河（数据层/口径层/责任层）与200+上市及拟IPO案例密度支撑合规结论。所有「我方更优」均附可核证依据；对手真实优势见第五部分第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对外品牌 " 立信科技 " ；与立信税务师事务所有限公司共有软著；成立列原文：「2020-12-24」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信研宝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上海立信序伦信息科技有限公司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研发费加计扣除智能化产品，依托立信审计 / 税务全国网络做背书，属立信 " 税务 " 板块的信息化载体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对手定位为「研发费加计扣除智能化产品，依托立信审计 / 税务全国网络做背书，属立信 " 税务 " 板块的信息化载体」；我方聚焦研发投入合规交付链的责任层。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研发费加计扣除智能化产品，依托 立信审计/税务全国网络 做背书，属立信 " 税务 " 板块的信息化载体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#123；定位原文「研发费加计扣除智能化产品，依托立信审计 / 税务全国网络做背书，属立信 " 税务 " 板块的信息化载体」（B 级信源，2026-09-18）；报告第七章深度档案（B 级信源，2026-09-18）；我方：own.json；对方：报告附录一 #123；定位原文「研发费加计扣除智能化产品，依托立信审计 / 税务全国网络做背书，属立信 " 税务 " 板块的信息化载体」（B 级信源，2026-09-18）；报告第七章深度档案（B 级信源，2026-09-18）；我方：own.json key_numbers；对方：报告附录一 #123；定位原文「研发费加计扣除智能化产品，依托立信审计 / 税务全国网络做背书，属立信 " 税务 " 板块的信息化载体」（B 级信源，2026-09-18）；报告第七章深度档案（B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在 1 个维度上，双方公开记录存在差异（见下表，逐条附依据）。10 个维度对手侧公开信息未覆盖（不作主张），均不作推断。</w:t>
      </w:r>
    </w:p>
    <w:p>
      <w:r>
        <w:t>下表为 14 个功能维度的逐项对比（★ = 双方公开记录存在差异，共 4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信研宝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7.17（档案未提工时留痕）（B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7.17「研发费加计扣除智能化产品」（主打加计扣除单口径，未称多口径）（B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7.17（与立信税务师事务所共有软著，著作权人为立信税务师事务所 + 上海立信序伦）（B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7.17（上海立信序伦信息科技 2020-12-24；软著登记 2025-05-23）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7.17（立信系 770 家上市公司客户量级，非专指 IPO 研发费）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pPr>
        <w:pStyle w:val="Heading2"/>
      </w:pPr>
      <w:r>
        <w:t>差异维度详解</w:t>
      </w:r>
    </w:p>
    <w:p>
      <w:pPr>
        <w:pStyle w:val="Heading3"/>
      </w:pPr>
      <w:r>
        <w:t>研发费用归集与口径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信研宝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研发费用归集与口径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多口径 （会计 / 高企 / 加计扣除）：部分支持；五维 / 多维穿透归集：公开信息未覆盖（不作主张）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 （会计 / 高企 / 加计扣除）：支持；五维 / 多维穿透归集：支持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对手为部分支持，我方覆盖更完整；客户应要求对手就缺口部分出具书面能力说明。</w:t>
            </w:r>
          </w:p>
        </w:tc>
      </w:tr>
    </w:tbl>
    <w:p/>
    <w:p>
      <w:r>
        <w:rPr>
          <w:color w:val="707070"/>
          <w:sz w:val="16"/>
        </w:rPr>
        <w:t>依据：多口径 （会计 / 高企 / 加计扣除）：报告 7.17「研发费加计扣除智能化产品」（主打加计扣除单口径，未称多口径）（B 级，2026-09-18）；五维 / 多维穿透归集：报告 7.17（档案未提）（B 级，2026-09-18）；我方值取 own.json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信研宝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部分支持（功能矩阵维度「多口径 （会计 / 高企 / 加计扣除）」，依据 报告 7.17「研发费加计扣除智能化产品」（主打加计扣除单口径，未称多口径）（B 级，2026-09-18））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可考虑「信研宝」的场景</w:t>
      </w:r>
    </w:p>
    <w:p>
      <w:pPr>
        <w:pStyle w:val="ListNumber"/>
      </w:pPr>
      <w:r>
        <w:t>咨询侧话语权弱：对手走「咨询先行、系统固化」路线，在制度设计与边界判断上的公信力更强。我方应把论证落在系统化留痕与可追溯交付上，而非与对手比咨询叙事。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若客户最看重的是「研发费加计扣除智能化产品，依托 立信审计/税务全国网络 做背书，属立信 " 税务 " 板块的信息化载体」这一单项能力，且合规深度要求相对基础，可将 信研宝 纳入比选（依据：其公开定位原文，报告附录一 #123；定位原文「研发费加计扣除智能化产品，依托立信审计 / 税务全国网络做背书，属立信 " 税务 " 板块的信息化载体」（B 级信源，2026-09-18）；报告第七章深度档案（B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