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研帮主 与独角鲸 · 研发费管理系统对比及选型建议</w:t>
      </w:r>
    </w:p>
    <w:p>
      <w:r>
        <w:rPr>
          <w:color w:val="707070"/>
          <w:sz w:val="18"/>
        </w:rPr>
        <w:t>竞品：研帮主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研帮主 与 独角鲸·研发费管理系统。对手公开定位为「研发效能合规咨询（咨询交付为主，无自有软件产品）」；我方以三层护城河（数据层/口径层/责任层）与200+上市及拟IPO案例密度支撑合规结论。所有「我方更优」均附可核证依据；对手真实优势见第五部分第 2 节。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工商名 " 研邦主 " ，品牌名 " 研帮主 "；成立列原文：「2013-12-25 （工商登记）」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研帮主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成都研邦主企业管理咨询有限公司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研发效能合规咨询（咨询交付为主，无自有软件产品）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对手定位为「研发效能合规咨询（咨询交付为主，无自有软件产品）」；我方聚焦研发投入合规交付链的责任层。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目标客群 " 营收 3,000 万–3 亿的研发制造型 / 高新技术企业 " ； 客单价 3W–10W+ ；宣称复购率 70%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咨询交付为主，无自有软件产品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#35；定位原文「研发效能合规咨询（咨询交付为主，无自有软件产品）」（B 级信源，2026-09-18）；报告第七章深度档案（B 级信源，2026-09-18）；我方：own.json；对方：报告附录一 #35；定位原文「研发效能合规咨询（咨询交付为主，无自有软件产品）」（B 级信源，2026-09-18）；报告第七章深度档案（B 级信源，2026-09-18）；我方：own.json key_numbers；对方：报告附录一 #35；定位原文「研发效能合规咨询（咨询交付为主，无自有软件产品）」（B 级信源，2026-09-18）；报告第七章深度档案（B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12 个维度对手侧公开信息未覆盖（不作主张），均不作推断。</w:t>
      </w:r>
    </w:p>
    <w:p>
      <w:r>
        <w:t>下表为 14 个功能维度的逐项对比（★ = 双方公开记录存在差异，共 2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研帮主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7.15（档案未提）（B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7.15（档案未提）（B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7.15（档案未提）（B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7.15（档案未提）（B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7.15（档案未提）（B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7.15（档案未提）（B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7.15（档案未提）（B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7.15（档案未提）（B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7.15（档案未提）（B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7.15（档案未提）（B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7.15（档案未提）（B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7.15（档案未提）（B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7.15 / 8.1（2013 年起）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8.1（自述，不可采信）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研帮主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2"/>
      </w:pPr>
      <w:r>
        <w:t>4.2 对手强弱（据报告第七章深度档案，原样照录）</w:t>
      </w:r>
    </w:p>
    <w:p>
      <w:r>
        <w:t>其优势：获客成本极低、复制速度快 ；在采购决策链前端影响系统选型；客单价与我方重叠</w:t>
      </w:r>
    </w:p>
    <w:p>
      <w:r>
        <w:t>其劣势：极度依赖人的交付质量 ；公开信息几乎全是付费软文（百业网 / 中钢网 " 商讯 "/ 企业库）， "7000+ 高企""100+ 团队""2025 研发合规咨询领军品牌"均不可采信 ；无软件资产，客户数据不在企业手上</w:t>
      </w:r>
    </w:p>
    <w:p>
      <w:r>
        <w:rPr>
          <w:color w:val="707070"/>
          <w:sz w:val="16"/>
        </w:rPr>
        <w:t>以上两段为第七章档案原文照录，未作优劣改写——优势照录，劣势也照录。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可考虑「研帮主」的场景</w:t>
      </w:r>
    </w:p>
    <w:p>
      <w:pPr>
        <w:pStyle w:val="ListNumber"/>
      </w:pPr>
      <w:r>
        <w:t>咨询侧话语权弱：对手走「咨询先行、系统固化」路线，在制度设计与边界判断上的公信力更强。我方应把论证落在系统化留痕与可追溯交付上，而非与对手比咨询叙事。</w:t>
      </w:r>
    </w:p>
    <w:p>
      <w:pPr>
        <w:pStyle w:val="ListNumber"/>
      </w:pPr>
      <w:r>
        <w:t>渠道密度不及对手：对手分公司/合作机构数量远高于我方。单点深谈与深度交付是我方可守的场景，广撒网式覆盖不宜与对手正面竞争。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若客户最看重的是「咨询交付为主，无自有软件产品」这一单项能力，且合规深度要求相对基础，可将 研帮主 纳入比选（依据：其公开定位原文，报告附录一 #35；定位原文「研发效能合规咨询（咨询交付为主，无自有软件产品）」（B 级信源，2026-09-18）；报告第七章深度档案（B 级信源，2026-09-18））。</w:t>
      </w:r>
    </w:p>
    <w:p>
      <w:pPr>
        <w:pStyle w:val="ListNumber"/>
      </w:pPr>
      <w:r>
        <w:t>若客户强依赖本地化或渠道资源（该竞品渠道：合伙人分销、渠道代理、咨询导流），对手在地推与服务可达性上更强。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