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亿企赢 与独角鲸 · 研发费管理系统对比及选型建议</w:t>
      </w:r>
    </w:p>
    <w:p>
      <w:r>
        <w:rPr>
          <w:color w:val="707070"/>
          <w:sz w:val="18"/>
        </w:rPr>
        <w:t>竞品：亿企赢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亿企赢 与 独角鲸·研发费管理系统。对手公开定位为「财税 SaaS + 研发费税优，财税 Agentic 2.0 / 犀友大模型」；我方以三层护城河（数据层/口径层/责任层）与200+上市及拟IPO案例密度支撑合规结论。所有「我方更优」均附可核证依据；对手真实优势见第五部分第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603171.SH；成立列原文：「2016 （品牌）」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亿企赢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税友股份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财税 SaaS + 研发费税优，财税 Agentic 2.0 / 犀友大模型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对手定位为「财税 SaaS + 研发费税优，财税 Agentic 2.0 / 犀友大模型」；我方聚焦研发投入合规交付链的责任层。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#27；定位原文「财税 SaaS + 研发费税优，财税 Agentic 2.0 / 犀友大模型」（B 级信源，2026-09-18）；我方：own.json；对方：报告附录一 #27；定位原文「财税 SaaS + 研发费税优，财税 Agentic 2.0 / 犀友大模型」（B 级信源，2026-09-18）；我方：own.json key_numbers；对方：报告附录一 #27；定位原文「财税 SaaS + 研发费税优，财税 Agentic 2.0 / 犀友大模型」（B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亿企赢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亿企赢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可考虑「亿企赢」的场景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若客户最看重的是「财税 SaaS + 研发费税优，财税 Agentic 2.0 / 犀友大模型」这一单项能力，且合规深度要求相对基础，可将 亿企赢 纳入比选（依据：其公开定位原文，报告附录一 #27；定位原文「财税 SaaS + 研发费税优，财税 Agentic 2.0 / 犀友大模型」（B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