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智研税通（原"嘉益"） 与独角鲸 · 研发费管理系统对比及选型建议</w:t>
      </w:r>
    </w:p>
    <w:p>
      <w:r>
        <w:rPr>
          <w:color w:val="707070"/>
          <w:sz w:val="18"/>
        </w:rPr>
        <w:t>竞品：智研税通（原"嘉益"）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智研税通（原"嘉益"） 与 独角鲸·研发费管理系统。对手公开定位为「研发费用全流程数字化管理，主打 IPO / 高企 / 加计扣除」；我方以三层护城河（数据层/口径层/责任层）与200+上市及拟IPO案例密度支撑合规结论。所有「我方更优」均附可核证依据；对手真实优势见第五部分第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成立列原文：「2025-08-07 （成立仅约 1 年）」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智研税通（原"嘉益"）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深圳市智研税通网络科技有限公司（ 曾用名 深圳市嘉益飞码网络科技有限公司 ， 2026-0…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研发费用全流程数字化管理，主打 IPO / 高企 / 加计扣除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对手定位为「研发费用全流程数字化管理，主打 IPO / 高企 / 加计扣除」；我方聚焦研发投入合规交付链的责任层。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研发费用全流程数字化管理，主打 IPO / 高企 / 加计扣除；研发工时可视化分摊、一键多口径报表、金税四期 AI 风险扫描； 核心打法是面向会计师事务所/税务师事务所/咨询机构的"白标合作" （免费试用 + 白标）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#126；定位原文「研发费用全流程数字化管理，主打 IPO / 高企 / 加计扣除」（B 级信源，2026-09-18）；报告第七章深度档案（B 级信源，2026-09-18）；我方：own.json；对方：报告附录一 #126；定位原文「研发费用全流程数字化管理，主打 IPO / 高企 / 加计扣除」（B 级信源，2026-09-18）；报告第七章深度档案（B 级信源，2026-09-18）；我方：own.json key_numbers；对方：报告附录一 #126；定位原文「研发费用全流程数字化管理，主打 IPO / 高企 / 加计扣除」（B 级信源，2026-09-18）；报告第七章深度档案（B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在 2 个维度上，双方公开记录存在差异（见下表，逐条附依据）。2 个维度双方记录一致（功能矩阵同为支持/同为部分支持/同为不支持），不构成差异化卖点，本文不将其列为「我方更优」；逐条详见附录 A。5 个维度对手侧公开信息未覆盖（不作主张），均不作推断。</w:t>
      </w:r>
    </w:p>
    <w:p>
      <w:r>
        <w:t>下表为 14 个功能维度的逐项对比（★ = 双方公开记录存在差异，共 7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智研税通（原"嘉益"）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7.17「研发工时可视化分摊」（B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7.17「研发工时可视化分摊」（有分摊，未称全时/非全时认定与占比预警）（B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7.17「一键多口径报表」（B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7.17「主打 IPO / 高企 / 加计扣除」（称主打，未称 IPO 口径报表）（B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7.17（档案未提辅助账/A107012）（B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7.17（档案未提）（B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7.17「金税四期 AI 风险扫描」（有风险扫描，未称问询可引用导出）（B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7.17（档案未提）（B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7.17（档案未提）（B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7.17「金税四期 AI 风险扫描」（有金税四期相关能力，未称直连）（B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7.17（档案未提）（B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7.17（面向会计师事务所/税务师事务所/咨询机构白标合作，其客户即申报鉴证方）（B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7.17（深圳市智研税通网络科技，2025-08-07 成立，仅约一年）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7.17（产品仍在早期包装期，品牌资产薄弱）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pPr>
        <w:pStyle w:val="Heading2"/>
      </w:pPr>
      <w:r>
        <w:t>差异维度详解</w:t>
      </w:r>
    </w:p>
    <w:p>
      <w:pPr>
        <w:pStyle w:val="Heading3"/>
      </w:pPr>
      <w:r>
        <w:t>合规与报表输出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智研税通（原"嘉益"）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合规与报表输出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IPO 口径 / 发行类第 9 号：部分支持；辅助账 / A107012 自动生成：公开信息未覆盖（不作主张）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 口径 / 发行类第 9 号：支持；辅助账 / A107012 自动生成：支持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对手为部分支持，我方覆盖更完整；客户应要求对手就缺口部分出具书面能力说明。</w:t>
            </w:r>
          </w:p>
        </w:tc>
      </w:tr>
    </w:tbl>
    <w:p/>
    <w:p>
      <w:r>
        <w:rPr>
          <w:color w:val="707070"/>
          <w:sz w:val="16"/>
        </w:rPr>
        <w:t>依据：IPO 口径 / 发行类第 9 号：报告 7.17「主打 IPO / 高企 / 加计扣除」（称主打，未称 IPO 口径报表）（B 级，2026-09-18）；辅助账 / A107012 自动生成：报告 7.17（档案未提辅助账/A107012）（B 级，2026-09-18）；我方值取 own.json</w:t>
      </w:r>
    </w:p>
    <w:p>
      <w:pPr>
        <w:pStyle w:val="Heading3"/>
      </w:pPr>
      <w:r>
        <w:t>证据链与备查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智研税通（原"嘉益"）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证据链与备查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证据链一键导出（问询可引用）：部分支持；备查文档批量生成与归档：公开信息未覆盖（不作主张）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证据链一键导出（问询可引用）：支持；备查文档批量生成与归档：支持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对手为部分支持，我方覆盖更完整；客户应要求对手就缺口部分出具书面能力说明。</w:t>
            </w:r>
          </w:p>
        </w:tc>
      </w:tr>
    </w:tbl>
    <w:p/>
    <w:p>
      <w:r>
        <w:rPr>
          <w:color w:val="707070"/>
          <w:sz w:val="16"/>
        </w:rPr>
        <w:t>依据：证据链一键导出（问询可引用）：报告 7.17「金税四期 AI 风险扫描」（有风险扫描，未称问询可引用导出）（B 级，2026-09-18）；备查文档批量生成与归档：报告 7.17（档案未提）（B 级，2026-09-18）；我方值取 own.json</w:t>
      </w:r>
    </w:p>
    <w:p>
      <w:r>
        <w:rPr>
          <w:color w:val="505050"/>
          <w:sz w:val="18"/>
        </w:rPr>
        <w:t>双方记录一致的模块（2 项，不作差异化主张）：研发工时与人员管理、研发费用归集与口径。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智研税通（原"嘉益"）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支持（功能矩阵维度「多口径 （会计 / 高企 / 加计扣除）」，依据 报告 7.17「一键多口径报表」（B 级，2026-09-18））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支持（功能矩阵维度「研发工时 过程留痕不可篡改」，依据 报告 7.17「研发工时可视化分摊」（B 级，2026-09-18））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部分支持（功能矩阵维度「证据链一键导出（问询可引用）」，依据 报告 7.17「金税四期 AI 风险扫描」（有风险扫描，未称问询可引用导出）（B 级，2026-09-18））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可考虑「智研税通（原"嘉益"）」的场景</w:t>
      </w:r>
    </w:p>
    <w:p>
      <w:pPr>
        <w:pStyle w:val="ListNumber"/>
      </w:pPr>
      <w:r>
        <w:t>咨询侧话语权弱：对手走「咨询先行、系统固化」路线，在制度设计与边界判断上的公信力更强。我方应把论证落在系统化留痕与可追溯交付上，而非与对手比咨询叙事。</w:t>
      </w:r>
    </w:p>
    <w:p>
      <w:pPr>
        <w:pStyle w:val="ListNumber"/>
      </w:pPr>
      <w:r>
        <w:t>深圳本地三面贴身：对手母体客户池可直接转化、企服礼包引流、本地服务商密度高。我方在本地响应与客户池基础上不占优势，需以合规深度与案例密度建立差异。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若客户最看重的是「研发费用全流程数字化管理，主打 IPO / 高企 / 加计扣除；研发工时可视化分摊、一键多口径报表、金税四期 AI 风险扫描； 核心打法是面向会计师事务所/税务师事务所/咨询机构的"白标合作" （免费试用 + 白标）」这一单项能力，且合规深度要求相对基础，可将 智研税通（原"嘉益"） 纳入比选（依据：其公开定位原文，报告附录一 #126；定位原文「研发费用全流程数字化管理，主打 IPO / 高企 / 加计扣除」（B 级信源，2026-09-18）；报告第七章深度档案（B 级信源，2026-09-18））。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