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70807" w14:textId="6455F41A" w:rsidR="00164EAD" w:rsidRPr="00A54DB4" w:rsidRDefault="00A54DB4" w:rsidP="00A54DB4">
      <w:pPr>
        <w:rPr>
          <w:rFonts w:cstheme="minorHAnsi"/>
          <w:b/>
          <w:bCs/>
        </w:rPr>
      </w:pPr>
      <w:r w:rsidRPr="00A54DB4">
        <w:rPr>
          <w:rFonts w:cstheme="minorHAnsi"/>
          <w:b/>
          <w:bCs/>
        </w:rPr>
        <w:t xml:space="preserve">Metadata </w:t>
      </w:r>
    </w:p>
    <w:p w14:paraId="3849B51C" w14:textId="77777777" w:rsidR="00A54DB4" w:rsidRPr="00A54DB4" w:rsidRDefault="00A54DB4">
      <w:pPr>
        <w:rPr>
          <w:rFonts w:cstheme="minorHAnsi"/>
        </w:rPr>
      </w:pPr>
    </w:p>
    <w:p w14:paraId="1FA09C9A" w14:textId="5F9DEA14" w:rsidR="00A54DB4" w:rsidRPr="00A54DB4" w:rsidRDefault="00A54DB4" w:rsidP="00A54DB4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A54DB4">
        <w:rPr>
          <w:rFonts w:cstheme="minorHAnsi"/>
          <w:b/>
          <w:bCs/>
        </w:rPr>
        <w:t>Site:</w:t>
      </w:r>
    </w:p>
    <w:p w14:paraId="0A00BE63" w14:textId="2DF3294B" w:rsidR="00A54DB4" w:rsidRPr="00A54DB4" w:rsidRDefault="00A54DB4" w:rsidP="00A54DB4">
      <w:pPr>
        <w:pStyle w:val="ListParagraph"/>
        <w:numPr>
          <w:ilvl w:val="1"/>
          <w:numId w:val="2"/>
        </w:numPr>
        <w:rPr>
          <w:rFonts w:cstheme="minorHAnsi"/>
        </w:rPr>
      </w:pPr>
      <w:r w:rsidRPr="00A54DB4">
        <w:rPr>
          <w:rFonts w:cstheme="minorHAnsi"/>
        </w:rPr>
        <w:t>Variable that identifies the study site used:</w:t>
      </w:r>
    </w:p>
    <w:p w14:paraId="6197CF7F" w14:textId="71408CC0" w:rsidR="00A54DB4" w:rsidRPr="00A54DB4" w:rsidRDefault="00A54DB4" w:rsidP="00A54DB4">
      <w:pPr>
        <w:pStyle w:val="ListParagraph"/>
        <w:numPr>
          <w:ilvl w:val="2"/>
          <w:numId w:val="2"/>
        </w:numPr>
        <w:rPr>
          <w:rFonts w:cstheme="minorHAnsi"/>
        </w:rPr>
      </w:pPr>
      <w:r w:rsidRPr="00A54DB4">
        <w:rPr>
          <w:rFonts w:cstheme="minorHAnsi"/>
          <w:b/>
          <w:bCs/>
        </w:rPr>
        <w:t xml:space="preserve">TP </w:t>
      </w:r>
      <w:r w:rsidRPr="00A54DB4">
        <w:rPr>
          <w:rFonts w:cstheme="minorHAnsi"/>
        </w:rPr>
        <w:t>= Tucker Prairie (</w:t>
      </w:r>
      <w:r w:rsidRPr="00A54DB4">
        <w:rPr>
          <w:rFonts w:cstheme="minorHAnsi"/>
        </w:rPr>
        <w:t>38.948414, -91.993268</w:t>
      </w:r>
      <w:r w:rsidRPr="00A54DB4">
        <w:rPr>
          <w:rFonts w:cstheme="minorHAnsi"/>
        </w:rPr>
        <w:t>)</w:t>
      </w:r>
    </w:p>
    <w:p w14:paraId="1800277C" w14:textId="5266DFBE" w:rsidR="00A54DB4" w:rsidRPr="00A54DB4" w:rsidRDefault="00A54DB4" w:rsidP="00A54DB4">
      <w:pPr>
        <w:pStyle w:val="ListParagraph"/>
        <w:numPr>
          <w:ilvl w:val="2"/>
          <w:numId w:val="2"/>
        </w:numPr>
        <w:rPr>
          <w:rFonts w:cstheme="minorHAnsi"/>
        </w:rPr>
      </w:pPr>
      <w:r w:rsidRPr="00A54DB4">
        <w:rPr>
          <w:rFonts w:cstheme="minorHAnsi"/>
          <w:b/>
          <w:bCs/>
        </w:rPr>
        <w:t>PFCA 1</w:t>
      </w:r>
      <w:r w:rsidRPr="00A54DB4">
        <w:rPr>
          <w:rFonts w:cstheme="minorHAnsi"/>
        </w:rPr>
        <w:t xml:space="preserve"> = 2-year-old prairie reconstruction at Prairie Fork Conservation Area (</w:t>
      </w:r>
      <w:r w:rsidRPr="00A54DB4">
        <w:rPr>
          <w:rFonts w:cstheme="minorHAnsi"/>
        </w:rPr>
        <w:t>38.895012, -91.733894</w:t>
      </w:r>
      <w:r w:rsidRPr="00A54DB4">
        <w:rPr>
          <w:rFonts w:cstheme="minorHAnsi"/>
        </w:rPr>
        <w:t>)</w:t>
      </w:r>
    </w:p>
    <w:p w14:paraId="324039A5" w14:textId="3AE2FC99" w:rsidR="00A54DB4" w:rsidRPr="00A54DB4" w:rsidRDefault="00A54DB4" w:rsidP="00A54DB4">
      <w:pPr>
        <w:pStyle w:val="ListParagraph"/>
        <w:numPr>
          <w:ilvl w:val="2"/>
          <w:numId w:val="2"/>
        </w:numPr>
        <w:rPr>
          <w:rFonts w:cstheme="minorHAnsi"/>
        </w:rPr>
      </w:pPr>
      <w:r w:rsidRPr="00A54DB4">
        <w:rPr>
          <w:rFonts w:cstheme="minorHAnsi"/>
          <w:b/>
          <w:bCs/>
        </w:rPr>
        <w:t>PFCA 2</w:t>
      </w:r>
      <w:r w:rsidRPr="00A54DB4">
        <w:rPr>
          <w:rFonts w:cstheme="minorHAnsi"/>
        </w:rPr>
        <w:t xml:space="preserve"> = 6-7-year-old prairie reconstruction at Prairie Fork Conservation Area (</w:t>
      </w:r>
      <w:r w:rsidRPr="00A54DB4">
        <w:rPr>
          <w:rFonts w:cstheme="minorHAnsi"/>
        </w:rPr>
        <w:t>38.883523, -91.737767</w:t>
      </w:r>
      <w:r w:rsidRPr="00A54DB4">
        <w:rPr>
          <w:rFonts w:cstheme="minorHAnsi"/>
        </w:rPr>
        <w:t>)</w:t>
      </w:r>
    </w:p>
    <w:p w14:paraId="2A0198BF" w14:textId="562A6C7A" w:rsidR="00A54DB4" w:rsidRPr="00A54DB4" w:rsidRDefault="00A54DB4" w:rsidP="00A54DB4">
      <w:pPr>
        <w:pStyle w:val="ListParagraph"/>
        <w:numPr>
          <w:ilvl w:val="2"/>
          <w:numId w:val="2"/>
        </w:numPr>
        <w:rPr>
          <w:rFonts w:cstheme="minorHAnsi"/>
        </w:rPr>
      </w:pPr>
      <w:r w:rsidRPr="00A54DB4">
        <w:rPr>
          <w:rFonts w:cstheme="minorHAnsi"/>
          <w:b/>
          <w:bCs/>
        </w:rPr>
        <w:t>PFCA 3</w:t>
      </w:r>
      <w:r w:rsidRPr="00A54DB4">
        <w:rPr>
          <w:rFonts w:cstheme="minorHAnsi"/>
        </w:rPr>
        <w:t xml:space="preserve"> = 15-year-old prairie reconstruction at Prairie Fork Conservation Area (</w:t>
      </w:r>
      <w:r w:rsidRPr="00A54DB4">
        <w:rPr>
          <w:rFonts w:cstheme="minorHAnsi"/>
        </w:rPr>
        <w:t>38.906558, -91.742252</w:t>
      </w:r>
    </w:p>
    <w:p w14:paraId="39E43632" w14:textId="591FC857" w:rsidR="00A54DB4" w:rsidRPr="00A54DB4" w:rsidRDefault="00A54DB4" w:rsidP="00A54DB4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A54DB4">
        <w:rPr>
          <w:rFonts w:cstheme="minorHAnsi"/>
          <w:b/>
          <w:bCs/>
        </w:rPr>
        <w:t>Transect</w:t>
      </w:r>
    </w:p>
    <w:p w14:paraId="760F6C59" w14:textId="73B6F289" w:rsidR="00A54DB4" w:rsidRPr="00A54DB4" w:rsidRDefault="00A54DB4" w:rsidP="00A54DB4">
      <w:pPr>
        <w:pStyle w:val="ListParagraph"/>
        <w:numPr>
          <w:ilvl w:val="1"/>
          <w:numId w:val="2"/>
        </w:numPr>
        <w:rPr>
          <w:rFonts w:cstheme="minorHAnsi"/>
        </w:rPr>
      </w:pPr>
      <w:r w:rsidRPr="00A54DB4">
        <w:rPr>
          <w:rFonts w:cstheme="minorHAnsi"/>
        </w:rPr>
        <w:t>Variable that identifies the transect sampled ranging from 1 to 10.</w:t>
      </w:r>
    </w:p>
    <w:p w14:paraId="5171D503" w14:textId="77777777" w:rsidR="00A54DB4" w:rsidRPr="00A54DB4" w:rsidRDefault="00A54DB4" w:rsidP="00A54DB4">
      <w:pPr>
        <w:rPr>
          <w:rFonts w:cstheme="minorHAnsi"/>
        </w:rPr>
      </w:pPr>
    </w:p>
    <w:p w14:paraId="3B07784B" w14:textId="131E4161" w:rsidR="00A54DB4" w:rsidRPr="00A54DB4" w:rsidRDefault="00A54DB4" w:rsidP="00A54DB4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A54DB4">
        <w:rPr>
          <w:rFonts w:cstheme="minorHAnsi"/>
          <w:b/>
          <w:bCs/>
        </w:rPr>
        <w:t xml:space="preserve">Plot </w:t>
      </w:r>
    </w:p>
    <w:p w14:paraId="5AC68435" w14:textId="25F2EE91" w:rsidR="00A54DB4" w:rsidRPr="00A54DB4" w:rsidRDefault="00A54DB4" w:rsidP="00A54DB4">
      <w:pPr>
        <w:pStyle w:val="ListParagraph"/>
        <w:numPr>
          <w:ilvl w:val="1"/>
          <w:numId w:val="2"/>
        </w:numPr>
        <w:rPr>
          <w:rFonts w:cstheme="minorHAnsi"/>
        </w:rPr>
      </w:pPr>
      <w:r w:rsidRPr="00A54DB4">
        <w:rPr>
          <w:rFonts w:cstheme="minorHAnsi"/>
        </w:rPr>
        <w:t>Variable that identifies which 1 m</w:t>
      </w:r>
      <w:r w:rsidRPr="00A54DB4">
        <w:rPr>
          <w:rFonts w:cstheme="minorHAnsi"/>
          <w:vertAlign w:val="superscript"/>
        </w:rPr>
        <w:t xml:space="preserve">2 </w:t>
      </w:r>
      <w:r w:rsidRPr="00A54DB4">
        <w:rPr>
          <w:rFonts w:cstheme="minorHAnsi"/>
        </w:rPr>
        <w:t>plot sampled ranging from 1 to 5.</w:t>
      </w:r>
    </w:p>
    <w:p w14:paraId="67C6E5A6" w14:textId="77777777" w:rsidR="00A54DB4" w:rsidRPr="00A54DB4" w:rsidRDefault="00A54DB4" w:rsidP="00A54DB4">
      <w:pPr>
        <w:rPr>
          <w:rFonts w:cstheme="minorHAnsi"/>
        </w:rPr>
      </w:pPr>
    </w:p>
    <w:p w14:paraId="5AC898EB" w14:textId="4C895E87" w:rsidR="00A54DB4" w:rsidRPr="00A54DB4" w:rsidRDefault="00A54DB4" w:rsidP="00A54DB4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A54DB4">
        <w:rPr>
          <w:rFonts w:cstheme="minorHAnsi"/>
          <w:b/>
          <w:bCs/>
        </w:rPr>
        <w:t>SPP6</w:t>
      </w:r>
    </w:p>
    <w:p w14:paraId="020471F1" w14:textId="04AAD48E" w:rsidR="00A54DB4" w:rsidRPr="00A54DB4" w:rsidRDefault="00A54DB4" w:rsidP="00A54DB4">
      <w:pPr>
        <w:pStyle w:val="ListParagraph"/>
        <w:numPr>
          <w:ilvl w:val="1"/>
          <w:numId w:val="2"/>
        </w:numPr>
        <w:rPr>
          <w:rFonts w:cstheme="minorHAnsi"/>
        </w:rPr>
      </w:pPr>
      <w:r w:rsidRPr="00A54DB4">
        <w:rPr>
          <w:rFonts w:cstheme="minorHAnsi"/>
        </w:rPr>
        <w:t xml:space="preserve">Six letter </w:t>
      </w:r>
      <w:proofErr w:type="gramStart"/>
      <w:r w:rsidRPr="00A54DB4">
        <w:rPr>
          <w:rFonts w:cstheme="minorHAnsi"/>
        </w:rPr>
        <w:t>identifier</w:t>
      </w:r>
      <w:proofErr w:type="gramEnd"/>
      <w:r w:rsidRPr="00A54DB4">
        <w:rPr>
          <w:rFonts w:cstheme="minorHAnsi"/>
        </w:rPr>
        <w:t xml:space="preserve"> for species. The first three letters are the first three letters in the genus and the last three letters are the first three letters of the species epithet. </w:t>
      </w:r>
    </w:p>
    <w:p w14:paraId="743172CB" w14:textId="77777777" w:rsidR="00A54DB4" w:rsidRPr="00A54DB4" w:rsidRDefault="00A54DB4" w:rsidP="00A54DB4">
      <w:pPr>
        <w:rPr>
          <w:rFonts w:cstheme="minorHAnsi"/>
        </w:rPr>
      </w:pPr>
    </w:p>
    <w:p w14:paraId="18462E67" w14:textId="14475B54" w:rsidR="00A54DB4" w:rsidRPr="00A54DB4" w:rsidRDefault="00A54DB4" w:rsidP="00A54DB4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A54DB4">
        <w:rPr>
          <w:rFonts w:cstheme="minorHAnsi"/>
          <w:b/>
          <w:bCs/>
        </w:rPr>
        <w:t>Cover (Fall only)</w:t>
      </w:r>
    </w:p>
    <w:p w14:paraId="3445703F" w14:textId="18992C9F" w:rsidR="00A54DB4" w:rsidRPr="00A54DB4" w:rsidRDefault="00A54DB4" w:rsidP="00A54DB4">
      <w:pPr>
        <w:pStyle w:val="ListParagraph"/>
        <w:numPr>
          <w:ilvl w:val="1"/>
          <w:numId w:val="2"/>
        </w:numPr>
        <w:rPr>
          <w:rFonts w:cstheme="minorHAnsi"/>
        </w:rPr>
      </w:pPr>
      <w:r w:rsidRPr="00A54DB4">
        <w:rPr>
          <w:rFonts w:cstheme="minorHAnsi"/>
        </w:rPr>
        <w:t xml:space="preserve">The percent aerial cover of all vascular plants rooted within a </w:t>
      </w:r>
      <w:r w:rsidRPr="00A54DB4">
        <w:rPr>
          <w:rFonts w:cstheme="minorHAnsi"/>
        </w:rPr>
        <w:t>1 m</w:t>
      </w:r>
      <w:r w:rsidRPr="00A54DB4">
        <w:rPr>
          <w:rFonts w:cstheme="minorHAnsi"/>
          <w:vertAlign w:val="superscript"/>
        </w:rPr>
        <w:t>2</w:t>
      </w:r>
      <w:r w:rsidRPr="00A54DB4">
        <w:rPr>
          <w:rFonts w:cstheme="minorHAnsi"/>
        </w:rPr>
        <w:t xml:space="preserve"> plot. </w:t>
      </w:r>
    </w:p>
    <w:p w14:paraId="1DF38386" w14:textId="77777777" w:rsidR="00A54DB4" w:rsidRPr="00A54DB4" w:rsidRDefault="00A54DB4" w:rsidP="00A54DB4">
      <w:pPr>
        <w:rPr>
          <w:rFonts w:cstheme="minorHAnsi"/>
        </w:rPr>
      </w:pPr>
    </w:p>
    <w:p w14:paraId="6C5F673B" w14:textId="6F77015A" w:rsidR="00A54DB4" w:rsidRPr="00A54DB4" w:rsidRDefault="00A54DB4" w:rsidP="00A54DB4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A54DB4">
        <w:rPr>
          <w:rFonts w:cstheme="minorHAnsi"/>
          <w:b/>
          <w:bCs/>
        </w:rPr>
        <w:t>Scientific_Name</w:t>
      </w:r>
    </w:p>
    <w:p w14:paraId="017A1D45" w14:textId="63286986" w:rsidR="00A54DB4" w:rsidRPr="00A54DB4" w:rsidRDefault="00A54DB4" w:rsidP="00A54DB4">
      <w:pPr>
        <w:pStyle w:val="ListParagraph"/>
        <w:numPr>
          <w:ilvl w:val="1"/>
          <w:numId w:val="2"/>
        </w:numPr>
        <w:rPr>
          <w:rFonts w:cstheme="minorHAnsi"/>
        </w:rPr>
      </w:pPr>
      <w:r w:rsidRPr="00A54DB4">
        <w:rPr>
          <w:rFonts w:cstheme="minorHAnsi"/>
        </w:rPr>
        <w:t>Nomenclature of taxa.</w:t>
      </w:r>
    </w:p>
    <w:p w14:paraId="62B8AF52" w14:textId="77777777" w:rsidR="00A54DB4" w:rsidRPr="00A54DB4" w:rsidRDefault="00A54DB4" w:rsidP="00A54DB4">
      <w:pPr>
        <w:rPr>
          <w:rFonts w:cstheme="minorHAnsi"/>
        </w:rPr>
      </w:pPr>
    </w:p>
    <w:p w14:paraId="64B98812" w14:textId="77777777" w:rsidR="00A54DB4" w:rsidRPr="00A54DB4" w:rsidRDefault="00A54DB4" w:rsidP="00A54DB4">
      <w:pPr>
        <w:rPr>
          <w:rFonts w:cstheme="minorHAnsi"/>
        </w:rPr>
      </w:pPr>
    </w:p>
    <w:sectPr w:rsidR="00A54DB4" w:rsidRPr="00A54DB4" w:rsidSect="00EC3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722C"/>
    <w:multiLevelType w:val="hybridMultilevel"/>
    <w:tmpl w:val="D3286108"/>
    <w:lvl w:ilvl="0" w:tplc="34BC5EA8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596A18"/>
    <w:multiLevelType w:val="hybridMultilevel"/>
    <w:tmpl w:val="ECD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253280">
    <w:abstractNumId w:val="0"/>
  </w:num>
  <w:num w:numId="2" w16cid:durableId="1643000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DB4"/>
    <w:rsid w:val="00201CF9"/>
    <w:rsid w:val="00742CDD"/>
    <w:rsid w:val="00A54DB4"/>
    <w:rsid w:val="00AD78A3"/>
    <w:rsid w:val="00E4462F"/>
    <w:rsid w:val="00EC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4561F"/>
  <w15:chartTrackingRefBased/>
  <w15:docId w15:val="{4A36A5A7-EF6E-9F44-A853-15A4475B4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0974">
          <w:marLeft w:val="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0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5347">
          <w:marLeft w:val="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5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2498">
          <w:marLeft w:val="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7325">
          <w:marLeft w:val="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5765">
          <w:marLeft w:val="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0366">
          <w:marLeft w:val="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3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Wynne, Katherine</dc:creator>
  <cp:keywords/>
  <dc:description/>
  <cp:lastModifiedBy>Wynne, Katherine</cp:lastModifiedBy>
  <cp:revision>1</cp:revision>
  <dcterms:created xsi:type="dcterms:W3CDTF">2023-06-07T19:02:00Z</dcterms:created>
  <dcterms:modified xsi:type="dcterms:W3CDTF">2023-06-07T19:11:00Z</dcterms:modified>
</cp:coreProperties>
</file>